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511011">
      <w:pPr>
        <w:pStyle w:val="137"/>
        <w:framePr w:wrap="around"/>
        <w:rPr>
          <w:highlight w:val="none"/>
        </w:rPr>
      </w:pPr>
      <w:r>
        <w:rPr>
          <w:rFonts w:ascii="Times New Roman"/>
          <w:highlight w:val="none"/>
        </w:rPr>
        <w:t>ICS</w:t>
      </w:r>
      <w:r>
        <w:rPr>
          <w:rFonts w:hint="eastAsia" w:ascii="MS Mincho" w:hAnsi="MS Mincho" w:eastAsia="宋体" w:cs="MS Mincho"/>
          <w:highlight w:val="none"/>
        </w:rPr>
        <w:t xml:space="preserve"> </w:t>
      </w:r>
      <w:r>
        <w:rPr>
          <w:rFonts w:hint="eastAsia" w:ascii="Times New Roman" w:hAnsi="Calibri"/>
          <w:highlight w:val="none"/>
        </w:rPr>
        <w:t>67.260</w:t>
      </w:r>
    </w:p>
    <w:p w14:paraId="6EE21F02">
      <w:pPr>
        <w:pStyle w:val="137"/>
        <w:framePr w:wrap="around"/>
        <w:rPr>
          <w:rFonts w:ascii="Times New Roman"/>
          <w:highlight w:val="none"/>
        </w:rPr>
      </w:pPr>
      <w:bookmarkStart w:id="0" w:name="WXFLH"/>
      <w:r>
        <w:rPr>
          <w:rFonts w:hint="eastAsia" w:ascii="Times New Roman"/>
          <w:highlight w:val="none"/>
        </w:rPr>
        <w:t xml:space="preserve">CCS  </w:t>
      </w:r>
      <w:bookmarkEnd w:id="0"/>
      <w:r>
        <w:rPr>
          <w:rFonts w:hint="eastAsia" w:ascii="Times New Roman" w:hAnsi="Calibri"/>
          <w:highlight w:val="none"/>
        </w:rPr>
        <w:t>X 99</w:t>
      </w:r>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71"/>
      </w:tblGrid>
      <w:tr w14:paraId="7B961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4" w:type="dxa"/>
            <w:tcBorders>
              <w:top w:val="nil"/>
              <w:left w:val="nil"/>
              <w:bottom w:val="nil"/>
              <w:right w:val="nil"/>
            </w:tcBorders>
          </w:tcPr>
          <w:p w14:paraId="73CC90D3">
            <w:pPr>
              <w:pStyle w:val="137"/>
              <w:framePr w:wrap="around"/>
              <w:rPr>
                <w:highlight w:val="none"/>
              </w:rPr>
            </w:pPr>
            <w:r>
              <w:rPr>
                <w:highlight w:val="none"/>
              </w:rPr>
              <mc:AlternateContent>
                <mc:Choice Requires="wps">
                  <w:drawing>
                    <wp:anchor distT="0" distB="0" distL="114300" distR="114300" simplePos="0" relativeHeight="251663360" behindDoc="1" locked="0" layoutInCell="1" allowOverlap="1">
                      <wp:simplePos x="0" y="0"/>
                      <wp:positionH relativeFrom="column">
                        <wp:posOffset>-66675</wp:posOffset>
                      </wp:positionH>
                      <wp:positionV relativeFrom="paragraph">
                        <wp:posOffset>0</wp:posOffset>
                      </wp:positionV>
                      <wp:extent cx="866775" cy="198120"/>
                      <wp:effectExtent l="0" t="0" r="0" b="1905"/>
                      <wp:wrapNone/>
                      <wp:docPr id="4"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a:noFill/>
                              </a:ln>
                            </wps:spPr>
                            <wps:txbx>
                              <w:txbxContent>
                                <w:p w14:paraId="493BEE2C"/>
                              </w:txbxContent>
                            </wps:txbx>
                            <wps:bodyPr wrap="square" upright="1"/>
                          </wps:wsp>
                        </a:graphicData>
                      </a:graphic>
                    </wp:anchor>
                  </w:drawing>
                </mc:Choice>
                <mc:Fallback>
                  <w:pict>
                    <v:rect id="BAH" o:spid="_x0000_s1026" o:spt="1" style="position:absolute;left:0pt;margin-left:-5.25pt;margin-top:0pt;height:15.6pt;width:68.25pt;z-index:-251653120;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DI&#10;ri/s1QAAAAcBAAAPAAAAAAAAAAEAIAAAACIAAABkcnMvZG93bnJldi54bWxQSwECFAAUAAAACACH&#10;TuJAgMHi27UBAAByAwAADgAAAAAAAAABACAAAAAkAQAAZHJzL2Uyb0RvYy54bWxQSwUGAAAAAAYA&#10;BgBZAQAASwUAAAAA&#10;">
                      <v:fill on="t" focussize="0,0"/>
                      <v:stroke on="f"/>
                      <v:imagedata o:title=""/>
                      <o:lock v:ext="edit" aspectratio="f"/>
                      <v:textbox>
                        <w:txbxContent>
                          <w:p w14:paraId="493BEE2C"/>
                        </w:txbxContent>
                      </v:textbox>
                    </v:rect>
                  </w:pict>
                </mc:Fallback>
              </mc:AlternateContent>
            </w:r>
          </w:p>
          <w:p w14:paraId="09DCEDA9">
            <w:pPr>
              <w:pStyle w:val="137"/>
              <w:framePr w:wrap="around"/>
              <w:rPr>
                <w:highlight w:val="none"/>
              </w:rPr>
            </w:pPr>
          </w:p>
        </w:tc>
      </w:tr>
    </w:tbl>
    <w:p w14:paraId="48A50771">
      <w:pPr>
        <w:pStyle w:val="116"/>
        <w:framePr w:wrap="around"/>
        <w:rPr>
          <w:rFonts w:eastAsia="DFKai-SB"/>
          <w:highlight w:val="none"/>
        </w:rPr>
      </w:pPr>
      <w:bookmarkStart w:id="1" w:name="c1"/>
      <w:r>
        <w:rPr>
          <w:highlight w:val="none"/>
        </w:rPr>
        <w:fldChar w:fldCharType="begin">
          <w:ffData>
            <w:name w:val="c1"/>
            <w:enabled/>
            <w:calcOnExit w:val="0"/>
            <w:textInput>
              <w:maxLength w:val="2"/>
            </w:textInput>
          </w:ffData>
        </w:fldChar>
      </w:r>
      <w:r>
        <w:rPr>
          <w:highlight w:val="none"/>
        </w:rPr>
        <w:instrText xml:space="preserve"> FORMTEXT </w:instrText>
      </w:r>
      <w:r>
        <w:rPr>
          <w:highlight w:val="none"/>
        </w:rPr>
        <w:fldChar w:fldCharType="separate"/>
      </w:r>
      <w:r>
        <w:rPr>
          <w:rFonts w:hint="eastAsia"/>
          <w:highlight w:val="none"/>
        </w:rPr>
        <w:t>J</w:t>
      </w:r>
      <w:r>
        <w:rPr>
          <w:rFonts w:eastAsia="DFKai-SB"/>
          <w:highlight w:val="none"/>
        </w:rPr>
        <w:t>B</w:t>
      </w:r>
      <w:r>
        <w:rPr>
          <w:rFonts w:eastAsia="DFKai-SB"/>
          <w:highlight w:val="none"/>
        </w:rPr>
        <w:fldChar w:fldCharType="end"/>
      </w:r>
      <w:bookmarkEnd w:id="1"/>
    </w:p>
    <w:p w14:paraId="7E1B64AC">
      <w:pPr>
        <w:pStyle w:val="95"/>
        <w:framePr w:wrap="around"/>
        <w:rPr>
          <w:rFonts w:hint="eastAsia"/>
          <w:highlight w:val="none"/>
        </w:rPr>
      </w:pPr>
      <w:r>
        <w:rPr>
          <w:rFonts w:hint="eastAsia"/>
          <w:highlight w:val="none"/>
        </w:rPr>
        <w:t>中华人民共和国</w:t>
      </w:r>
      <w:bookmarkStart w:id="2" w:name="c2"/>
      <w:r>
        <w:rPr>
          <w:highlight w:val="none"/>
        </w:rPr>
        <w:fldChar w:fldCharType="begin">
          <w:ffData>
            <w:name w:val="c2"/>
            <w:enabled/>
            <w:calcOnExit w:val="0"/>
            <w:textInput/>
          </w:ffData>
        </w:fldChar>
      </w:r>
      <w:r>
        <w:rPr>
          <w:highlight w:val="none"/>
        </w:rPr>
        <w:instrText xml:space="preserve"> FORMTEXT </w:instrText>
      </w:r>
      <w:r>
        <w:rPr>
          <w:highlight w:val="none"/>
        </w:rPr>
        <w:fldChar w:fldCharType="separate"/>
      </w:r>
      <w:r>
        <w:rPr>
          <w:rFonts w:hint="eastAsia"/>
          <w:highlight w:val="none"/>
        </w:rPr>
        <w:t>机械</w:t>
      </w:r>
      <w:r>
        <w:rPr>
          <w:highlight w:val="none"/>
        </w:rPr>
        <w:fldChar w:fldCharType="end"/>
      </w:r>
      <w:bookmarkEnd w:id="2"/>
      <w:r>
        <w:rPr>
          <w:rFonts w:hint="eastAsia"/>
          <w:highlight w:val="none"/>
        </w:rPr>
        <w:t>行业标准</w:t>
      </w:r>
    </w:p>
    <w:p w14:paraId="7BF20687">
      <w:pPr>
        <w:pStyle w:val="120"/>
        <w:framePr w:wrap="around"/>
        <w:rPr>
          <w:rFonts w:hint="eastAsia" w:hAnsi="黑体"/>
          <w:highlight w:val="none"/>
        </w:rPr>
      </w:pPr>
      <w:bookmarkStart w:id="3" w:name="StdNo0"/>
      <w:r>
        <w:rPr>
          <w:rFonts w:ascii="Times New Roman"/>
          <w:highlight w:val="none"/>
        </w:rPr>
        <w:fldChar w:fldCharType="begin">
          <w:ffData>
            <w:name w:val="StdNo0"/>
            <w:enabled/>
            <w:calcOnExit w:val="0"/>
            <w:textInput>
              <w:default w:val="XX"/>
              <w:maxLength w:val="2"/>
            </w:textInput>
          </w:ffData>
        </w:fldChar>
      </w:r>
      <w:r>
        <w:rPr>
          <w:rFonts w:ascii="Times New Roman"/>
          <w:highlight w:val="none"/>
        </w:rPr>
        <w:instrText xml:space="preserve"> FORMTEXT </w:instrText>
      </w:r>
      <w:r>
        <w:rPr>
          <w:rFonts w:ascii="Times New Roman"/>
          <w:highlight w:val="none"/>
        </w:rPr>
        <w:fldChar w:fldCharType="separate"/>
      </w:r>
      <w:r>
        <w:rPr>
          <w:rFonts w:hint="eastAsia" w:ascii="Times New Roman"/>
          <w:highlight w:val="none"/>
        </w:rPr>
        <w:t>J</w:t>
      </w:r>
      <w:r>
        <w:rPr>
          <w:rFonts w:ascii="Times New Roman"/>
          <w:highlight w:val="none"/>
        </w:rPr>
        <w:t>B</w:t>
      </w:r>
      <w:r>
        <w:rPr>
          <w:rFonts w:ascii="Times New Roman"/>
          <w:highlight w:val="none"/>
        </w:rPr>
        <w:fldChar w:fldCharType="end"/>
      </w:r>
      <w:bookmarkEnd w:id="3"/>
      <w:r>
        <w:rPr>
          <w:rFonts w:ascii="Times New Roman"/>
          <w:highlight w:val="none"/>
        </w:rPr>
        <w:t xml:space="preserve">/T </w:t>
      </w:r>
      <w:r>
        <w:rPr>
          <w:rFonts w:hAnsi="黑体"/>
          <w:highlight w:val="none"/>
        </w:rPr>
        <w:t>1</w:t>
      </w:r>
      <w:r>
        <w:rPr>
          <w:rFonts w:hint="eastAsia" w:hAnsi="黑体"/>
          <w:highlight w:val="none"/>
        </w:rPr>
        <w:t>1370</w:t>
      </w:r>
      <w:r>
        <w:rPr>
          <w:rFonts w:hAnsi="黑体"/>
          <w:highlight w:val="none"/>
        </w:rPr>
        <w:t>—</w:t>
      </w:r>
      <w:bookmarkStart w:id="4" w:name="StdNo2"/>
      <w:r>
        <w:rPr>
          <w:rFonts w:hAnsi="黑体"/>
          <w:highlight w:val="none"/>
        </w:rPr>
        <w:fldChar w:fldCharType="begin">
          <w:ffData>
            <w:name w:val="StdNo2"/>
            <w:enabled/>
            <w:calcOnExit w:val="0"/>
            <w:textInput>
              <w:default w:val="XXXX"/>
              <w:maxLength w:val="4"/>
            </w:textInput>
          </w:ffData>
        </w:fldChar>
      </w:r>
      <w:r>
        <w:rPr>
          <w:rFonts w:hAnsi="黑体"/>
          <w:highlight w:val="none"/>
        </w:rPr>
        <w:instrText xml:space="preserve"> FORMTEXT </w:instrText>
      </w:r>
      <w:r>
        <w:rPr>
          <w:rFonts w:hAnsi="黑体"/>
          <w:highlight w:val="none"/>
        </w:rPr>
        <w:fldChar w:fldCharType="separate"/>
      </w:r>
      <w:r>
        <w:rPr>
          <w:rFonts w:hAnsi="黑体"/>
          <w:highlight w:val="none"/>
        </w:rPr>
        <w:t>20XX</w:t>
      </w:r>
      <w:r>
        <w:rPr>
          <w:rFonts w:hAnsi="黑体"/>
          <w:highlight w:val="none"/>
        </w:rPr>
        <w:fldChar w:fldCharType="end"/>
      </w:r>
      <w:bookmarkEnd w:id="4"/>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5DF7E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0EF1668D">
            <w:pPr>
              <w:pStyle w:val="110"/>
              <w:framePr w:wrap="around"/>
              <w:rPr>
                <w:highlight w:val="none"/>
              </w:rPr>
            </w:pPr>
            <w:r>
              <w:rPr>
                <w:rFonts w:hint="eastAsia"/>
                <w:highlight w:val="none"/>
              </w:rPr>
              <w:t>代替</w:t>
            </w:r>
            <w:r>
              <w:rPr>
                <w:highlight w:val="none"/>
              </w:rPr>
              <w:t>JB/T 1</w:t>
            </w:r>
            <w:r>
              <w:rPr>
                <w:rFonts w:hint="eastAsia"/>
                <w:highlight w:val="none"/>
              </w:rPr>
              <w:t>1370</w:t>
            </w:r>
            <w:r>
              <w:rPr>
                <w:highlight w:val="none"/>
              </w:rPr>
              <w:t>-201</w:t>
            </w:r>
            <w:r>
              <w:rPr>
                <w:rFonts w:hint="eastAsia"/>
                <w:highlight w:val="none"/>
              </w:rPr>
              <w:t>3</w:t>
            </w:r>
          </w:p>
        </w:tc>
      </w:tr>
    </w:tbl>
    <w:p w14:paraId="0B30AE26">
      <w:pPr>
        <w:pStyle w:val="120"/>
        <w:framePr w:wrap="around"/>
        <w:rPr>
          <w:rFonts w:hint="eastAsia" w:hAnsi="黑体"/>
          <w:highlight w:val="none"/>
        </w:rPr>
      </w:pPr>
    </w:p>
    <w:p w14:paraId="6595A46B">
      <w:pPr>
        <w:pStyle w:val="120"/>
        <w:framePr w:wrap="around"/>
        <w:rPr>
          <w:rFonts w:hint="eastAsia" w:hAnsi="黑体"/>
          <w:highlight w:val="none"/>
        </w:rPr>
      </w:pPr>
    </w:p>
    <w:p w14:paraId="38D19B0D">
      <w:pPr>
        <w:framePr w:w="9639" w:h="6917" w:hRule="exact" w:wrap="around" w:vAnchor="page" w:hAnchor="page" w:x="1326" w:y="6408" w:anchorLock="1"/>
        <w:spacing w:line="700" w:lineRule="exact"/>
        <w:jc w:val="center"/>
        <w:textAlignment w:val="center"/>
        <w:rPr>
          <w:rFonts w:eastAsia="黑体"/>
          <w:sz w:val="52"/>
          <w:szCs w:val="52"/>
          <w:highlight w:val="none"/>
        </w:rPr>
      </w:pPr>
      <w:bookmarkStart w:id="5" w:name="StdEnglishName"/>
      <w:r>
        <w:rPr>
          <w:rFonts w:hint="eastAsia" w:eastAsia="黑体"/>
          <w:sz w:val="52"/>
          <w:szCs w:val="52"/>
          <w:highlight w:val="none"/>
        </w:rPr>
        <w:t>食品机械  上粉机</w:t>
      </w:r>
    </w:p>
    <w:bookmarkEnd w:id="5"/>
    <w:p w14:paraId="5C361711">
      <w:pPr>
        <w:framePr w:w="9639" w:h="6917" w:hRule="exact" w:wrap="around" w:vAnchor="page" w:hAnchor="page" w:x="1326" w:y="6408" w:anchorLock="1"/>
        <w:widowControl/>
        <w:spacing w:before="312" w:beforeLines="100" w:line="760" w:lineRule="exact"/>
        <w:jc w:val="center"/>
        <w:textAlignment w:val="center"/>
        <w:rPr>
          <w:b/>
          <w:kern w:val="0"/>
          <w:sz w:val="28"/>
          <w:szCs w:val="28"/>
          <w:highlight w:val="none"/>
        </w:rPr>
      </w:pPr>
      <w:r>
        <w:rPr>
          <w:b/>
          <w:kern w:val="0"/>
          <w:sz w:val="28"/>
          <w:szCs w:val="28"/>
          <w:highlight w:val="none"/>
        </w:rPr>
        <w:t>Food machinery</w:t>
      </w:r>
      <w:r>
        <w:rPr>
          <w:rFonts w:eastAsia="黑体"/>
          <w:b/>
          <w:bCs/>
          <w:kern w:val="0"/>
          <w:sz w:val="28"/>
          <w:szCs w:val="28"/>
          <w:highlight w:val="none"/>
        </w:rPr>
        <w:t>—</w:t>
      </w:r>
      <w:r>
        <w:rPr>
          <w:b/>
          <w:kern w:val="0"/>
          <w:sz w:val="28"/>
          <w:szCs w:val="28"/>
          <w:highlight w:val="none"/>
        </w:rPr>
        <w:t>Flouring machine</w:t>
      </w:r>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3698A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21FBCBF">
            <w:pPr>
              <w:pStyle w:val="106"/>
              <w:framePr w:wrap="around" w:x="1326"/>
              <w:rPr>
                <w:highlight w:val="none"/>
              </w:rPr>
            </w:pPr>
            <w:r>
              <w:rPr>
                <w:rFonts w:hint="eastAsia"/>
                <w:highlight w:val="none"/>
              </w:rPr>
              <w:t>（</w:t>
            </w:r>
            <w:r>
              <w:rPr>
                <w:highlight w:val="none"/>
              </w:rPr>
              <mc:AlternateContent>
                <mc:Choice Requires="wps">
                  <w:drawing>
                    <wp:anchor distT="0" distB="0" distL="114300" distR="114300" simplePos="0" relativeHeight="251661312" behindDoc="1" locked="1" layoutInCell="1" allowOverlap="1">
                      <wp:simplePos x="0" y="0"/>
                      <wp:positionH relativeFrom="column">
                        <wp:posOffset>2200910</wp:posOffset>
                      </wp:positionH>
                      <wp:positionV relativeFrom="paragraph">
                        <wp:posOffset>4281805</wp:posOffset>
                      </wp:positionV>
                      <wp:extent cx="1905000" cy="254000"/>
                      <wp:effectExtent l="0" t="0" r="0" b="3175"/>
                      <wp:wrapNone/>
                      <wp:docPr id="3"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a:noFill/>
                              </a:ln>
                            </wps:spPr>
                            <wps:txbx>
                              <w:txbxContent>
                                <w:p w14:paraId="266448B4"/>
                              </w:txbxContent>
                            </wps:txbx>
                            <wps:bodyPr wrap="square" upright="1"/>
                          </wps:wsp>
                        </a:graphicData>
                      </a:graphic>
                    </wp:anchor>
                  </w:drawing>
                </mc:Choice>
                <mc:Fallback>
                  <w:pict>
                    <v:rect id="RQ" o:spid="_x0000_s1026" o:spt="1" style="position:absolute;left:0pt;margin-left:173.3pt;margin-top:337.15pt;height:20pt;width:150pt;z-index:-251655168;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X9+DX&#10;AAAACwEAAA8AAAAAAAAAAQAgAAAAIgAAAGRycy9kb3ducmV2LnhtbFBLAQIUABQAAAAIAIdO4kC9&#10;S8M4rwEAAHIDAAAOAAAAAAAAAAEAIAAAACYBAABkcnMvZTJvRG9jLnhtbFBLBQYAAAAABgAGAFkB&#10;AABHBQAAAAA=&#10;">
                      <v:fill on="t" focussize="0,0"/>
                      <v:stroke on="f"/>
                      <v:imagedata o:title=""/>
                      <o:lock v:ext="edit" aspectratio="f"/>
                      <v:textbox>
                        <w:txbxContent>
                          <w:p w14:paraId="266448B4"/>
                        </w:txbxContent>
                      </v:textbox>
                      <w10:anchorlock/>
                    </v:rect>
                  </w:pict>
                </mc:Fallback>
              </mc:AlternateContent>
            </w:r>
            <w:r>
              <w:rPr>
                <w:rFonts w:hint="eastAsia"/>
                <w:highlight w:val="none"/>
              </w:rPr>
              <w:t>征求意见稿）</w:t>
            </w:r>
          </w:p>
        </w:tc>
      </w:tr>
      <w:tr w14:paraId="59E54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1A917940">
            <w:pPr>
              <w:pStyle w:val="131"/>
              <w:framePr w:wrap="around" w:x="1326"/>
              <w:rPr>
                <w:highlight w:val="none"/>
              </w:rPr>
            </w:pPr>
            <w:r>
              <w:rPr>
                <w:rFonts w:hint="eastAsia"/>
                <w:highlight w:val="none"/>
              </w:rPr>
              <w:t>（在提交反馈意见时，请将您知道的相关专利连同支持性文件一并附上。）</w:t>
            </w:r>
          </w:p>
        </w:tc>
      </w:tr>
      <w:tr w14:paraId="5C73B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4B998AEE">
            <w:pPr>
              <w:pStyle w:val="131"/>
              <w:framePr w:wrap="around" w:x="1326"/>
              <w:rPr>
                <w:highlight w:val="none"/>
              </w:rPr>
            </w:pPr>
          </w:p>
        </w:tc>
      </w:tr>
    </w:tbl>
    <w:p w14:paraId="5D3558D5">
      <w:pPr>
        <w:pStyle w:val="67"/>
        <w:framePr w:wrap="around" w:hAnchor="page" w:x="1277" w:y="13973"/>
        <w:rPr>
          <w:highlight w:val="none"/>
        </w:rPr>
      </w:pPr>
      <w:bookmarkStart w:id="6" w:name="FY"/>
      <w:r>
        <w:rPr>
          <w:rFonts w:ascii="黑体"/>
          <w:highlight w:val="none"/>
        </w:rPr>
        <w:fldChar w:fldCharType="begin">
          <w:ffData>
            <w:name w:val="FY"/>
            <w:enabled/>
            <w:calcOnExit w:val="0"/>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hint="eastAsia" w:ascii="黑体"/>
          <w:highlight w:val="none"/>
        </w:rPr>
        <w:t>20</w:t>
      </w:r>
      <w:r>
        <w:rPr>
          <w:rFonts w:ascii="黑体"/>
          <w:highlight w:val="none"/>
        </w:rPr>
        <w:t>XX</w:t>
      </w:r>
      <w:r>
        <w:rPr>
          <w:rFonts w:ascii="黑体"/>
          <w:highlight w:val="none"/>
        </w:rPr>
        <w:fldChar w:fldCharType="end"/>
      </w:r>
      <w:bookmarkEnd w:id="6"/>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FM"/>
            <w:enabled/>
            <w:calcOnExit w:val="0"/>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r>
        <w:rPr>
          <w:highlight w:val="none"/>
        </w:rPr>
        <w:t xml:space="preserve"> </w:t>
      </w:r>
      <w:r>
        <w:rPr>
          <w:rFonts w:ascii="黑体"/>
          <w:highlight w:val="none"/>
        </w:rPr>
        <w:t>-</w:t>
      </w:r>
      <w:r>
        <w:rPr>
          <w:highlight w:val="none"/>
        </w:rPr>
        <w:t xml:space="preserve"> </w:t>
      </w:r>
      <w:bookmarkStart w:id="7" w:name="FD"/>
      <w:r>
        <w:rPr>
          <w:rFonts w:ascii="黑体"/>
          <w:highlight w:val="none"/>
        </w:rPr>
        <w:fldChar w:fldCharType="begin">
          <w:ffData>
            <w:name w:val="FD"/>
            <w:enabled/>
            <w:calcOnExit w:val="0"/>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7"/>
      <w:r>
        <w:rPr>
          <w:rFonts w:hint="eastAsia"/>
          <w:highlight w:val="none"/>
        </w:rPr>
        <w:t>发布</w:t>
      </w:r>
      <w:r>
        <w:rPr>
          <w:highlight w:val="none"/>
        </w:rPr>
        <mc:AlternateContent>
          <mc:Choice Requires="wps">
            <w:drawing>
              <wp:anchor distT="0" distB="0" distL="114300" distR="114300" simplePos="0" relativeHeight="251665408" behindDoc="0" locked="1" layoutInCell="1" allowOverlap="1">
                <wp:simplePos x="0" y="0"/>
                <wp:positionH relativeFrom="margin">
                  <wp:align>center</wp:align>
                </wp:positionH>
                <wp:positionV relativeFrom="page">
                  <wp:posOffset>9251950</wp:posOffset>
                </wp:positionV>
                <wp:extent cx="6120130" cy="0"/>
                <wp:effectExtent l="0" t="0" r="0" b="0"/>
                <wp:wrapNone/>
                <wp:docPr id="6" name="直线 10"/>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0" o:spid="_x0000_s1026" o:spt="20" style="position:absolute;left:0pt;margin-top:728.5pt;height:0pt;width:481.9pt;mso-position-horizontal:center;mso-position-horizontal-relative:margin;mso-position-vertical-relative:page;z-index:251665408;mso-width-relative:page;mso-height-relative:page;" filled="f" stroked="t" coordsize="21600,21600" o:gfxdata="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Pe0DZ9UAAAAKAQAADwAAAAAA&#10;AAABACAAAAAiAAAAZHJzL2Rvd25yZXYueG1sUEsBAhQAFAAAAAgAh07iQK3jyAXdAQAA0AMAAA4A&#10;AAAAAAAAAQAgAAAAJAEAAGRycy9lMm9Eb2MueG1sUEsFBgAAAAAGAAYAWQEAAHMFAAAAAA==&#10;">
                <v:fill on="f" focussize="0,0"/>
                <v:stroke color="#000000" joinstyle="round"/>
                <v:imagedata o:title=""/>
                <o:lock v:ext="edit" aspectratio="f"/>
                <w10:anchorlock/>
              </v:line>
            </w:pict>
          </mc:Fallback>
        </mc:AlternateContent>
      </w:r>
    </w:p>
    <w:p w14:paraId="629DBE1E">
      <w:pPr>
        <w:pStyle w:val="85"/>
        <w:framePr w:wrap="around" w:hAnchor="page" w:x="6916" w:y="13981"/>
        <w:rPr>
          <w:highlight w:val="none"/>
        </w:rPr>
      </w:pPr>
      <w:bookmarkStart w:id="8" w:name="SY"/>
      <w:r>
        <w:rPr>
          <w:rFonts w:ascii="黑体"/>
          <w:highlight w:val="none"/>
        </w:rPr>
        <w:fldChar w:fldCharType="begin">
          <w:ffData>
            <w:name w:val="SY"/>
            <w:enabled/>
            <w:calcOnExit w:val="0"/>
            <w:textInput>
              <w:default w:val="XXXX"/>
              <w:maxLength w:val="4"/>
            </w:textInput>
          </w:ffData>
        </w:fldChar>
      </w:r>
      <w:r>
        <w:rPr>
          <w:rFonts w:ascii="黑体"/>
          <w:highlight w:val="none"/>
        </w:rPr>
        <w:instrText xml:space="preserve"> FORMTEXT </w:instrText>
      </w:r>
      <w:r>
        <w:rPr>
          <w:rFonts w:ascii="黑体"/>
          <w:highlight w:val="none"/>
        </w:rPr>
        <w:fldChar w:fldCharType="separate"/>
      </w:r>
      <w:r>
        <w:rPr>
          <w:rFonts w:hint="eastAsia" w:ascii="黑体"/>
          <w:highlight w:val="none"/>
        </w:rPr>
        <w:t>20</w:t>
      </w:r>
      <w:r>
        <w:rPr>
          <w:rFonts w:ascii="黑体"/>
          <w:highlight w:val="none"/>
        </w:rPr>
        <w:t>XX</w:t>
      </w:r>
      <w:r>
        <w:rPr>
          <w:rFonts w:ascii="黑体"/>
          <w:highlight w:val="none"/>
        </w:rPr>
        <w:fldChar w:fldCharType="end"/>
      </w:r>
      <w:bookmarkEnd w:id="8"/>
      <w:r>
        <w:rPr>
          <w:highlight w:val="none"/>
        </w:rPr>
        <w:t xml:space="preserve"> </w:t>
      </w:r>
      <w:r>
        <w:rPr>
          <w:rFonts w:ascii="黑体"/>
          <w:highlight w:val="none"/>
        </w:rPr>
        <w:t>-</w:t>
      </w:r>
      <w:r>
        <w:rPr>
          <w:highlight w:val="none"/>
        </w:rPr>
        <w:t xml:space="preserve"> </w:t>
      </w:r>
      <w:bookmarkStart w:id="9" w:name="SM"/>
      <w:r>
        <w:rPr>
          <w:rFonts w:ascii="黑体"/>
          <w:highlight w:val="none"/>
        </w:rPr>
        <w:fldChar w:fldCharType="begin">
          <w:ffData>
            <w:name w:val="SM"/>
            <w:enabled/>
            <w:calcOnExit w:val="0"/>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9"/>
      <w:r>
        <w:rPr>
          <w:highlight w:val="none"/>
        </w:rPr>
        <w:t xml:space="preserve"> </w:t>
      </w:r>
      <w:r>
        <w:rPr>
          <w:rFonts w:ascii="黑体"/>
          <w:highlight w:val="none"/>
        </w:rPr>
        <w:t>-</w:t>
      </w:r>
      <w:r>
        <w:rPr>
          <w:highlight w:val="none"/>
        </w:rPr>
        <w:t xml:space="preserve"> </w:t>
      </w:r>
      <w:bookmarkStart w:id="10" w:name="SD"/>
      <w:r>
        <w:rPr>
          <w:rFonts w:ascii="黑体"/>
          <w:highlight w:val="none"/>
        </w:rPr>
        <w:fldChar w:fldCharType="begin">
          <w:ffData>
            <w:name w:val="SD"/>
            <w:enabled/>
            <w:calcOnExit w:val="0"/>
            <w:textInput>
              <w:default w:val="XX"/>
              <w:maxLength w:val="2"/>
            </w:textInput>
          </w:ffData>
        </w:fldChar>
      </w:r>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0"/>
      <w:r>
        <w:rPr>
          <w:rFonts w:hint="eastAsia"/>
          <w:highlight w:val="none"/>
        </w:rPr>
        <w:t>实施</w:t>
      </w:r>
    </w:p>
    <w:p w14:paraId="58935D76">
      <w:pPr>
        <w:pStyle w:val="83"/>
        <w:framePr w:wrap="around"/>
        <w:rPr>
          <w:highlight w:val="none"/>
        </w:rPr>
      </w:pPr>
      <w:bookmarkStart w:id="11" w:name="fm"/>
      <w:r>
        <w:rPr>
          <w:w w:val="100"/>
          <w:highlight w:val="none"/>
        </w:rP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6350" b="0"/>
                <wp:wrapNone/>
                <wp:docPr id="2"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a:noFill/>
                        </a:ln>
                      </wps:spPr>
                      <wps:txbx>
                        <w:txbxContent>
                          <w:p w14:paraId="4500B7EB"/>
                        </w:txbxContent>
                      </wps:txbx>
                      <wps:bodyPr wrap="square" upright="1"/>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bXu&#10;1tkAAAANAQAADwAAAAAAAAABACAAAAAiAAAAZHJzL2Rvd25yZXYueG1sUEsBAhQAFAAAAAgAh07i&#10;QF0PpQGvAQAAcgMAAA4AAAAAAAAAAQAgAAAAKAEAAGRycy9lMm9Eb2MueG1sUEsFBgAAAAAGAAYA&#10;WQEAAEkFAAAAAA==&#10;">
                <v:fill on="t" focussize="0,0"/>
                <v:stroke on="f"/>
                <v:imagedata o:title=""/>
                <o:lock v:ext="edit" aspectratio="f"/>
                <v:textbox>
                  <w:txbxContent>
                    <w:p w14:paraId="4500B7EB"/>
                  </w:txbxContent>
                </v:textbox>
              </v:rect>
            </w:pict>
          </mc:Fallback>
        </mc:AlternateContent>
      </w:r>
      <w:r>
        <w:rPr>
          <w:w w:val="100"/>
          <w:highlight w:val="none"/>
        </w:rPr>
        <mc:AlternateContent>
          <mc:Choice Requires="wps">
            <w:drawing>
              <wp:anchor distT="0" distB="0" distL="114300" distR="114300" simplePos="0" relativeHeight="251660288"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txbx>
                        <w:txbxContent>
                          <w:p w14:paraId="5E1D29DF"/>
                        </w:txbxContent>
                      </wps:txbx>
                      <wps:bodyPr wrap="square" upright="1"/>
                    </wps:wsp>
                  </a:graphicData>
                </a:graphic>
              </wp:anchor>
            </w:drawing>
          </mc:Choice>
          <mc:Fallback>
            <w:pict>
              <v:rect id="DT" o:spid="_x0000_s1026" o:spt="1" style="position:absolute;left:0pt;margin-left:347.55pt;margin-top:-585.45pt;height:18pt;width:90pt;z-index:-251656192;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N/J&#10;ihHaAAAADwEAAA8AAAAAAAAAAQAgAAAAIgAAAGRycy9kb3ducmV2LnhtbFBLAQIUABQAAAAIAIdO&#10;4kDFH/vPrwEAAHIDAAAOAAAAAAAAAAEAIAAAACkBAABkcnMvZTJvRG9jLnhtbFBLBQYAAAAABgAG&#10;AFkBAABKBQAAAAA=&#10;">
                <v:fill on="t" focussize="0,0"/>
                <v:stroke on="f"/>
                <v:imagedata o:title=""/>
                <o:lock v:ext="edit" aspectratio="f"/>
                <v:textbox>
                  <w:txbxContent>
                    <w:p w14:paraId="5E1D29DF"/>
                  </w:txbxContent>
                </v:textbox>
              </v:rect>
            </w:pict>
          </mc:Fallback>
        </mc:AlternateContent>
      </w:r>
      <w:bookmarkEnd w:id="11"/>
      <w:r>
        <w:rPr>
          <w:rFonts w:hint="eastAsia"/>
          <w:w w:val="100"/>
          <w:highlight w:val="none"/>
        </w:rPr>
        <w:t>中华人民共和国工业和信息化部</w:t>
      </w:r>
      <w:r>
        <w:rPr>
          <w:rFonts w:hint="eastAsia" w:hAnsi="黑体"/>
          <w:highlight w:val="none"/>
        </w:rPr>
        <w:t xml:space="preserve">   </w:t>
      </w:r>
      <w:r>
        <w:rPr>
          <w:rStyle w:val="56"/>
          <w:rFonts w:hint="eastAsia"/>
          <w:highlight w:val="none"/>
        </w:rPr>
        <w:t>发布</w:t>
      </w:r>
    </w:p>
    <w:p w14:paraId="28756C88">
      <w:pPr>
        <w:pStyle w:val="28"/>
        <w:rPr>
          <w:highlight w:val="none"/>
        </w:rPr>
        <w:sectPr>
          <w:headerReference r:id="rId3" w:type="even"/>
          <w:footerReference r:id="rId4" w:type="even"/>
          <w:pgSz w:w="11906" w:h="16838"/>
          <w:pgMar w:top="567" w:right="1134" w:bottom="1134" w:left="1417" w:header="0" w:footer="0" w:gutter="0"/>
          <w:pgNumType w:start="1"/>
          <w:cols w:space="720" w:num="1"/>
          <w:docGrid w:type="lines" w:linePitch="312" w:charSpace="0"/>
        </w:sectPr>
      </w:pPr>
      <w:r>
        <w:rPr>
          <w:highlight w:val="none"/>
        </w:rPr>
        <mc:AlternateContent>
          <mc:Choice Requires="wps">
            <w:drawing>
              <wp:anchor distT="0" distB="0" distL="114300" distR="114300" simplePos="0" relativeHeight="251664384" behindDoc="0" locked="0" layoutInCell="1" allowOverlap="1">
                <wp:simplePos x="0" y="0"/>
                <wp:positionH relativeFrom="column">
                  <wp:posOffset>-29845</wp:posOffset>
                </wp:positionH>
                <wp:positionV relativeFrom="paragraph">
                  <wp:posOffset>2199640</wp:posOffset>
                </wp:positionV>
                <wp:extent cx="6120130" cy="0"/>
                <wp:effectExtent l="0" t="4445" r="4445" b="5080"/>
                <wp:wrapNone/>
                <wp:docPr id="7"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2.35pt;margin-top:173.2pt;height:0pt;width:481.9pt;z-index:251664384;mso-width-relative:page;mso-height-relative:page;" filled="f" stroked="t" coordsize="21600,21600" o:gfxdata="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5kgjV2AAAAAoBAAAP&#10;AAAAAAAAAAEAIAAAACIAAABkcnMvZG93bnJldi54bWxQSwECFAAUAAAACACHTuJAx3lbHN8BAADQ&#10;AwAADgAAAAAAAAABACAAAAAnAQAAZHJzL2Uyb0RvYy54bWxQSwUGAAAAAAYABgBZAQAAeAUAAAAA&#10;">
                <v:fill on="f" focussize="0,0"/>
                <v:stroke color="#000000" joinstyle="round"/>
                <v:imagedata o:title=""/>
                <o:lock v:ext="edit" aspectratio="f"/>
              </v:line>
            </w:pict>
          </mc:Fallback>
        </mc:AlternateContent>
      </w:r>
    </w:p>
    <w:p w14:paraId="3BD17021">
      <w:pPr>
        <w:pStyle w:val="77"/>
        <w:keepNext w:val="0"/>
        <w:pageBreakBefore w:val="0"/>
        <w:widowControl w:val="0"/>
        <w:spacing w:before="312" w:beforeLines="100" w:after="312" w:afterLines="100" w:line="420" w:lineRule="exact"/>
        <w:outlineLvl w:val="9"/>
        <w:rPr>
          <w:highlight w:val="none"/>
        </w:rPr>
      </w:pPr>
      <w:bookmarkStart w:id="12" w:name="_Toc74381704"/>
      <w:bookmarkStart w:id="13" w:name="_Toc87254624"/>
      <w:bookmarkStart w:id="14" w:name="_Toc196241108"/>
      <w:r>
        <w:rPr>
          <w:rFonts w:hint="eastAsia"/>
          <w:highlight w:val="none"/>
        </w:rPr>
        <w:t>目  次</w:t>
      </w:r>
      <w:bookmarkEnd w:id="12"/>
      <w:bookmarkEnd w:id="13"/>
      <w:bookmarkEnd w:id="14"/>
    </w:p>
    <w:p w14:paraId="62A0F4F8">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TOC \o "1-3" \h \z \u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_Toc4687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前  言</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_Toc4687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I</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4ADDFDFC">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_Toc16613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1 </w:t>
      </w:r>
      <w:r>
        <w:rPr>
          <w:rFonts w:hint="default" w:ascii="Times New Roman" w:hAnsi="Times New Roman" w:eastAsia="宋体" w:cs="Times New Roman"/>
          <w:sz w:val="21"/>
          <w:szCs w:val="21"/>
          <w:highlight w:val="none"/>
        </w:rPr>
        <w:t>范围</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_Toc16613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AAF6BBA">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_Toc15739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2 </w:t>
      </w:r>
      <w:r>
        <w:rPr>
          <w:rFonts w:hint="default" w:ascii="Times New Roman" w:hAnsi="Times New Roman" w:eastAsia="宋体" w:cs="Times New Roman"/>
          <w:sz w:val="21"/>
          <w:szCs w:val="21"/>
          <w:highlight w:val="none"/>
        </w:rPr>
        <w:t>规范性引用文件</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_Toc15739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0CF234AB">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_Toc12886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3 </w:t>
      </w:r>
      <w:r>
        <w:rPr>
          <w:rFonts w:hint="default" w:ascii="Times New Roman" w:hAnsi="Times New Roman" w:eastAsia="宋体" w:cs="Times New Roman"/>
          <w:sz w:val="21"/>
          <w:szCs w:val="21"/>
          <w:highlight w:val="none"/>
        </w:rPr>
        <w:t>术语和定义</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_Toc12886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2</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7DB81AE8">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_Toc17642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4 </w:t>
      </w:r>
      <w:r>
        <w:rPr>
          <w:rFonts w:hint="default" w:ascii="Times New Roman" w:hAnsi="Times New Roman" w:eastAsia="宋体" w:cs="Times New Roman"/>
          <w:sz w:val="21"/>
          <w:szCs w:val="21"/>
          <w:highlight w:val="none"/>
        </w:rPr>
        <w:t>型式与型号</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_Toc17642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3</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4F65C35D">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_Toc23605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4.1 </w:t>
      </w:r>
      <w:r>
        <w:rPr>
          <w:rFonts w:hint="default" w:ascii="Times New Roman" w:hAnsi="Times New Roman" w:eastAsia="宋体" w:cs="Times New Roman"/>
          <w:kern w:val="0"/>
          <w:sz w:val="21"/>
          <w:szCs w:val="21"/>
          <w:highlight w:val="none"/>
        </w:rPr>
        <w:t>型式</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_Toc23605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3</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8BB0528">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_Toc30174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4.2 </w:t>
      </w:r>
      <w:r>
        <w:rPr>
          <w:rFonts w:hint="default" w:ascii="Times New Roman" w:hAnsi="Times New Roman" w:eastAsia="宋体" w:cs="Times New Roman"/>
          <w:kern w:val="0"/>
          <w:sz w:val="21"/>
          <w:szCs w:val="21"/>
          <w:highlight w:val="none"/>
        </w:rPr>
        <w:t>型号</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_Toc30174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3</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4A1C7E4">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_Toc824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5 </w:t>
      </w:r>
      <w:r>
        <w:rPr>
          <w:rFonts w:hint="default" w:ascii="Times New Roman" w:hAnsi="Times New Roman" w:eastAsia="宋体" w:cs="Times New Roman"/>
          <w:sz w:val="21"/>
          <w:szCs w:val="21"/>
          <w:highlight w:val="none"/>
        </w:rPr>
        <w:t>技术要求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_Toc824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4</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463A6CC">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_Toc8543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5.1 </w:t>
      </w:r>
      <w:r>
        <w:rPr>
          <w:rFonts w:hint="default" w:ascii="Times New Roman" w:hAnsi="Times New Roman" w:eastAsia="宋体" w:cs="Times New Roman"/>
          <w:kern w:val="0"/>
          <w:sz w:val="21"/>
          <w:szCs w:val="21"/>
          <w:highlight w:val="none"/>
        </w:rPr>
        <w:t>材料要求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_Toc8543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4</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4C9A1330">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_Toc25216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5.2 </w:t>
      </w:r>
      <w:r>
        <w:rPr>
          <w:rFonts w:hint="default" w:ascii="Times New Roman" w:hAnsi="Times New Roman" w:eastAsia="宋体" w:cs="Times New Roman"/>
          <w:kern w:val="0"/>
          <w:sz w:val="21"/>
          <w:szCs w:val="21"/>
          <w:highlight w:val="none"/>
        </w:rPr>
        <w:t>加工要求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_Toc25216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4</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2E1EF035">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_Toc20342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5.3 </w:t>
      </w:r>
      <w:r>
        <w:rPr>
          <w:rFonts w:hint="default" w:ascii="Times New Roman" w:hAnsi="Times New Roman" w:eastAsia="宋体" w:cs="Times New Roman"/>
          <w:kern w:val="0"/>
          <w:sz w:val="21"/>
          <w:szCs w:val="21"/>
          <w:highlight w:val="none"/>
        </w:rPr>
        <w:t>装配要求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_Toc20342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4</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4BAE8F20">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_Toc7748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5.4 </w:t>
      </w:r>
      <w:r>
        <w:rPr>
          <w:rFonts w:hint="default" w:ascii="Times New Roman" w:hAnsi="Times New Roman" w:eastAsia="宋体" w:cs="Times New Roman"/>
          <w:kern w:val="0"/>
          <w:sz w:val="21"/>
          <w:szCs w:val="21"/>
          <w:highlight w:val="none"/>
        </w:rPr>
        <w:t>主要零部件及系统要求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_Toc7748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4</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12F63634">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_Toc14815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5.5 </w:t>
      </w:r>
      <w:r>
        <w:rPr>
          <w:rFonts w:hint="default" w:ascii="Times New Roman" w:hAnsi="Times New Roman" w:eastAsia="宋体" w:cs="Times New Roman"/>
          <w:kern w:val="0"/>
          <w:sz w:val="21"/>
          <w:szCs w:val="21"/>
          <w:highlight w:val="none"/>
        </w:rPr>
        <w:t>卫生安全要求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_Toc14815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5</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2CEEB0FD">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_Toc9049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5.6 </w:t>
      </w:r>
      <w:r>
        <w:rPr>
          <w:rFonts w:hint="default" w:ascii="Times New Roman" w:hAnsi="Times New Roman" w:eastAsia="宋体" w:cs="Times New Roman"/>
          <w:kern w:val="0"/>
          <w:sz w:val="21"/>
          <w:szCs w:val="21"/>
          <w:highlight w:val="none"/>
        </w:rPr>
        <w:t>机械安全要求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_Toc9049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6</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95EE377">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_Toc31789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5.7 </w:t>
      </w:r>
      <w:r>
        <w:rPr>
          <w:rFonts w:hint="default" w:ascii="Times New Roman" w:hAnsi="Times New Roman" w:eastAsia="宋体" w:cs="Times New Roman"/>
          <w:kern w:val="0"/>
          <w:sz w:val="21"/>
          <w:szCs w:val="21"/>
          <w:highlight w:val="none"/>
        </w:rPr>
        <w:t>电气安全要求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_Toc31789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6</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1CB35C4">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_Toc7379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5.8 </w:t>
      </w:r>
      <w:r>
        <w:rPr>
          <w:rFonts w:hint="default" w:ascii="Times New Roman" w:hAnsi="Times New Roman" w:eastAsia="宋体" w:cs="Times New Roman"/>
          <w:kern w:val="0"/>
          <w:sz w:val="21"/>
          <w:szCs w:val="21"/>
          <w:highlight w:val="none"/>
        </w:rPr>
        <w:t>性能要求</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_Toc7379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6</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D90C695">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_Toc10509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6 </w:t>
      </w:r>
      <w:r>
        <w:rPr>
          <w:rFonts w:hint="default" w:ascii="Times New Roman" w:hAnsi="Times New Roman" w:eastAsia="宋体" w:cs="Times New Roman"/>
          <w:sz w:val="21"/>
          <w:szCs w:val="21"/>
          <w:highlight w:val="none"/>
        </w:rPr>
        <w:t>试验方法</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_Toc10509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7</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458283A2">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_Toc13099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6.1 </w:t>
      </w:r>
      <w:r>
        <w:rPr>
          <w:rFonts w:hint="default" w:ascii="Times New Roman" w:hAnsi="Times New Roman" w:eastAsia="宋体" w:cs="Times New Roman"/>
          <w:kern w:val="0"/>
          <w:sz w:val="21"/>
          <w:szCs w:val="21"/>
          <w:highlight w:val="none"/>
        </w:rPr>
        <w:t>试验条件</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_Toc13099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7</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2E002B7C">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_Toc22279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6.2 </w:t>
      </w:r>
      <w:r>
        <w:rPr>
          <w:rFonts w:hint="default" w:ascii="Times New Roman" w:hAnsi="Times New Roman" w:eastAsia="宋体" w:cs="Times New Roman"/>
          <w:kern w:val="0"/>
          <w:sz w:val="21"/>
          <w:szCs w:val="21"/>
          <w:highlight w:val="none"/>
        </w:rPr>
        <w:t>材料要求检查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_Toc22279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7</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2DD5DDB9">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_Toc20141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6.3 </w:t>
      </w:r>
      <w:r>
        <w:rPr>
          <w:rFonts w:hint="default" w:ascii="Times New Roman" w:hAnsi="Times New Roman" w:eastAsia="宋体" w:cs="Times New Roman"/>
          <w:kern w:val="0"/>
          <w:sz w:val="21"/>
          <w:szCs w:val="21"/>
          <w:highlight w:val="none"/>
        </w:rPr>
        <w:t>加工要求检查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_Toc20141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7</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C763232">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_Toc12300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6.4 </w:t>
      </w:r>
      <w:r>
        <w:rPr>
          <w:rFonts w:hint="default" w:ascii="Times New Roman" w:hAnsi="Times New Roman" w:eastAsia="宋体" w:cs="Times New Roman"/>
          <w:kern w:val="0"/>
          <w:sz w:val="21"/>
          <w:szCs w:val="21"/>
          <w:highlight w:val="none"/>
        </w:rPr>
        <w:t>装配要求检查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_Toc12300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7</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CE068C2">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_Toc20265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6.5 </w:t>
      </w:r>
      <w:r>
        <w:rPr>
          <w:rFonts w:hint="default" w:ascii="Times New Roman" w:hAnsi="Times New Roman" w:eastAsia="宋体" w:cs="Times New Roman"/>
          <w:kern w:val="0"/>
          <w:sz w:val="21"/>
          <w:szCs w:val="21"/>
          <w:highlight w:val="none"/>
        </w:rPr>
        <w:t>主要零部件及系统要求检查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_Toc20265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8</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323FFC0E">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_Toc25748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6.6 </w:t>
      </w:r>
      <w:r>
        <w:rPr>
          <w:rFonts w:hint="default" w:ascii="Times New Roman" w:hAnsi="Times New Roman" w:eastAsia="宋体" w:cs="Times New Roman"/>
          <w:kern w:val="0"/>
          <w:sz w:val="21"/>
          <w:szCs w:val="21"/>
          <w:highlight w:val="none"/>
        </w:rPr>
        <w:t>卫生安全要求检查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_Toc25748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9</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7996D3D1">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_Toc11955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6.7 </w:t>
      </w:r>
      <w:r>
        <w:rPr>
          <w:rFonts w:hint="default" w:ascii="Times New Roman" w:hAnsi="Times New Roman" w:eastAsia="宋体" w:cs="Times New Roman"/>
          <w:kern w:val="0"/>
          <w:sz w:val="21"/>
          <w:szCs w:val="21"/>
          <w:highlight w:val="none"/>
        </w:rPr>
        <w:t>机械安全要求检查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_Toc11955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9</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0FA7D14B">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_Toc9164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6.8 </w:t>
      </w:r>
      <w:r>
        <w:rPr>
          <w:rFonts w:hint="default" w:ascii="Times New Roman" w:hAnsi="Times New Roman" w:eastAsia="宋体" w:cs="Times New Roman"/>
          <w:kern w:val="0"/>
          <w:sz w:val="21"/>
          <w:szCs w:val="21"/>
          <w:highlight w:val="none"/>
        </w:rPr>
        <w:t>电气安全要求检查</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_Toc9164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9</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440E95B0">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_Toc20384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6.9 </w:t>
      </w:r>
      <w:r>
        <w:rPr>
          <w:rFonts w:hint="default" w:ascii="Times New Roman" w:hAnsi="Times New Roman" w:eastAsia="宋体" w:cs="Times New Roman"/>
          <w:kern w:val="0"/>
          <w:sz w:val="21"/>
          <w:szCs w:val="21"/>
          <w:highlight w:val="none"/>
        </w:rPr>
        <w:t>性能试验</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_Toc20384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9</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3ABDCC5E">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_Toc9762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7 </w:t>
      </w:r>
      <w:r>
        <w:rPr>
          <w:rFonts w:hint="default" w:ascii="Times New Roman" w:hAnsi="Times New Roman" w:eastAsia="宋体" w:cs="Times New Roman"/>
          <w:sz w:val="21"/>
          <w:szCs w:val="21"/>
          <w:highlight w:val="none"/>
        </w:rPr>
        <w:t>检验规则</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_Toc9762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11</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116D2958">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_Toc30181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7.1 </w:t>
      </w:r>
      <w:r>
        <w:rPr>
          <w:rFonts w:hint="default" w:ascii="Times New Roman" w:hAnsi="Times New Roman" w:eastAsia="宋体" w:cs="Times New Roman"/>
          <w:kern w:val="0"/>
          <w:sz w:val="21"/>
          <w:szCs w:val="21"/>
          <w:highlight w:val="none"/>
        </w:rPr>
        <w:t>检验分类</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_Toc30181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11</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24AC5727">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_Toc32065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7.2 </w:t>
      </w:r>
      <w:r>
        <w:rPr>
          <w:rFonts w:hint="default" w:ascii="Times New Roman" w:hAnsi="Times New Roman" w:eastAsia="宋体" w:cs="Times New Roman"/>
          <w:kern w:val="0"/>
          <w:sz w:val="21"/>
          <w:szCs w:val="21"/>
          <w:highlight w:val="none"/>
        </w:rPr>
        <w:t>出厂检验</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_Toc32065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11</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475E2B8">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_Toc30477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7.3 </w:t>
      </w:r>
      <w:r>
        <w:rPr>
          <w:rFonts w:hint="default" w:ascii="Times New Roman" w:hAnsi="Times New Roman" w:eastAsia="宋体" w:cs="Times New Roman"/>
          <w:kern w:val="0"/>
          <w:sz w:val="21"/>
          <w:szCs w:val="21"/>
          <w:highlight w:val="none"/>
        </w:rPr>
        <w:t>型式检验</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_Toc30477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12</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01CE1E74">
      <w:pPr>
        <w:pStyle w:val="24"/>
        <w:keepNext w:val="0"/>
        <w:keepLines w:val="0"/>
        <w:pageBreakBefore w:val="0"/>
        <w:widowControl w:val="0"/>
        <w:tabs>
          <w:tab w:val="right" w:leader="dot" w:pos="9355"/>
          <w:tab w:val="clear" w:pos="9242"/>
        </w:tabs>
        <w:kinsoku/>
        <w:wordWrap/>
        <w:overflowPunct/>
        <w:topLinePunct w:val="0"/>
        <w:autoSpaceDE/>
        <w:autoSpaceDN/>
        <w:bidi w:val="0"/>
        <w:adjustRightInd/>
        <w:snapToGrid/>
        <w:spacing w:before="0" w:beforeLines="0" w:after="0" w:afterLines="0" w:line="400" w:lineRule="exact"/>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_Toc8912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i w:val="0"/>
          <w:sz w:val="21"/>
          <w:szCs w:val="21"/>
          <w:highlight w:val="none"/>
        </w:rPr>
        <w:t xml:space="preserve">8 </w:t>
      </w:r>
      <w:r>
        <w:rPr>
          <w:rFonts w:hint="default" w:ascii="Times New Roman" w:hAnsi="Times New Roman" w:eastAsia="宋体" w:cs="Times New Roman"/>
          <w:sz w:val="21"/>
          <w:szCs w:val="21"/>
          <w:highlight w:val="none"/>
        </w:rPr>
        <w:t>标志、包装、运输和贮存</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_Toc8912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12</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76FD25EE">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_Toc29453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8.1 </w:t>
      </w:r>
      <w:r>
        <w:rPr>
          <w:rFonts w:hint="default" w:ascii="Times New Roman" w:hAnsi="Times New Roman" w:eastAsia="宋体" w:cs="Times New Roman"/>
          <w:kern w:val="0"/>
          <w:sz w:val="21"/>
          <w:szCs w:val="21"/>
          <w:highlight w:val="none"/>
        </w:rPr>
        <w:t>标志</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_Toc29453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12</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2321E6E">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_Toc18346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8.2 </w:t>
      </w:r>
      <w:r>
        <w:rPr>
          <w:rFonts w:hint="default" w:ascii="Times New Roman" w:hAnsi="Times New Roman" w:eastAsia="宋体" w:cs="Times New Roman"/>
          <w:kern w:val="0"/>
          <w:sz w:val="21"/>
          <w:szCs w:val="21"/>
          <w:highlight w:val="none"/>
        </w:rPr>
        <w:t>包装</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_Toc18346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12</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75AD3600">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_Toc4119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8.3 </w:t>
      </w:r>
      <w:r>
        <w:rPr>
          <w:rFonts w:hint="default" w:ascii="Times New Roman" w:hAnsi="Times New Roman" w:eastAsia="宋体" w:cs="Times New Roman"/>
          <w:kern w:val="0"/>
          <w:sz w:val="21"/>
          <w:szCs w:val="21"/>
          <w:highlight w:val="none"/>
        </w:rPr>
        <w:t>运输</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_Toc4119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13</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3328CED">
      <w:pPr>
        <w:pStyle w:val="34"/>
        <w:keepNext w:val="0"/>
        <w:keepLines w:val="0"/>
        <w:pageBreakBefore w:val="0"/>
        <w:widowControl w:val="0"/>
        <w:tabs>
          <w:tab w:val="right" w:leader="dot" w:pos="9355"/>
          <w:tab w:val="clear" w:pos="9242"/>
        </w:tabs>
        <w:kinsoku/>
        <w:wordWrap/>
        <w:overflowPunct/>
        <w:topLinePunct w:val="0"/>
        <w:autoSpaceDE/>
        <w:autoSpaceDN/>
        <w:bidi w:val="0"/>
        <w:adjustRightInd/>
        <w:snapToGrid/>
        <w:spacing w:line="300" w:lineRule="exact"/>
        <w:ind w:firstLine="210" w:firstLineChars="100"/>
        <w:jc w:val="both"/>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_Toc27067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bCs w:val="0"/>
          <w:i w:val="0"/>
          <w:iCs w:val="0"/>
          <w:caps w:val="0"/>
          <w:smallCaps w:val="0"/>
          <w:strike w:val="0"/>
          <w:dstrike w:val="0"/>
          <w:vanish w:val="0"/>
          <w:spacing w:val="0"/>
          <w:kern w:val="0"/>
          <w:position w:val="0"/>
          <w:sz w:val="21"/>
          <w:szCs w:val="21"/>
          <w:highlight w:val="none"/>
          <w:vertAlign w:val="baseline"/>
        </w:rPr>
        <w:t xml:space="preserve">8.4 </w:t>
      </w:r>
      <w:r>
        <w:rPr>
          <w:rFonts w:hint="default" w:ascii="Times New Roman" w:hAnsi="Times New Roman" w:eastAsia="宋体" w:cs="Times New Roman"/>
          <w:kern w:val="0"/>
          <w:sz w:val="21"/>
          <w:szCs w:val="21"/>
          <w:highlight w:val="none"/>
        </w:rPr>
        <w:t>贮存</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_Toc27067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13</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5E3D9F40">
      <w:pPr>
        <w:pStyle w:val="99"/>
        <w:keepNext w:val="0"/>
        <w:keepLines w:val="0"/>
        <w:pageBreakBefore w:val="0"/>
        <w:widowControl w:val="0"/>
        <w:kinsoku/>
        <w:wordWrap/>
        <w:overflowPunct/>
        <w:topLinePunct w:val="0"/>
        <w:autoSpaceDE/>
        <w:autoSpaceDN/>
        <w:bidi w:val="0"/>
        <w:adjustRightInd/>
        <w:snapToGrid/>
        <w:spacing w:before="0" w:after="0" w:line="400" w:lineRule="exact"/>
        <w:jc w:val="both"/>
        <w:textAlignment w:val="auto"/>
        <w:outlineLvl w:val="9"/>
        <w:rPr>
          <w:rFonts w:ascii="Times New Roman" w:eastAsia="宋体"/>
          <w:sz w:val="21"/>
          <w:szCs w:val="21"/>
          <w:highlight w:val="none"/>
        </w:rPr>
      </w:pPr>
      <w:r>
        <w:rPr>
          <w:rFonts w:hint="default" w:ascii="Times New Roman" w:hAnsi="Times New Roman" w:eastAsia="宋体" w:cs="Times New Roman"/>
          <w:sz w:val="21"/>
          <w:szCs w:val="21"/>
          <w:highlight w:val="none"/>
        </w:rPr>
        <w:fldChar w:fldCharType="end"/>
      </w:r>
    </w:p>
    <w:p w14:paraId="7610F87D">
      <w:pPr>
        <w:pStyle w:val="33"/>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sz w:val="21"/>
          <w:szCs w:val="21"/>
          <w:highlight w:val="none"/>
        </w:rPr>
      </w:pPr>
      <w:r>
        <w:rPr>
          <w:rStyle w:val="46"/>
          <w:rFonts w:hint="default" w:ascii="Times New Roman" w:hAnsi="Times New Roman" w:eastAsia="宋体" w:cs="Times New Roman"/>
          <w:sz w:val="21"/>
          <w:szCs w:val="21"/>
          <w:highlight w:val="none"/>
        </w:rPr>
        <w:fldChar w:fldCharType="begin"/>
      </w:r>
      <w:r>
        <w:rPr>
          <w:rStyle w:val="46"/>
          <w:rFonts w:hint="default" w:ascii="Times New Roman" w:hAnsi="Times New Roman" w:eastAsia="宋体" w:cs="Times New Roman"/>
          <w:sz w:val="21"/>
          <w:szCs w:val="21"/>
          <w:highlight w:val="none"/>
        </w:rPr>
        <w:instrText xml:space="preserve"> TOC \h \z \c "图" </w:instrText>
      </w:r>
      <w:r>
        <w:rPr>
          <w:rStyle w:val="46"/>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_Toc26547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图 1  上粉机型号编制方法</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_Toc26547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3</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668B504">
      <w:pPr>
        <w:pStyle w:val="33"/>
        <w:keepNext w:val="0"/>
        <w:keepLines w:val="0"/>
        <w:pageBreakBefore w:val="0"/>
        <w:widowControl w:val="0"/>
        <w:tabs>
          <w:tab w:val="right" w:leader="dot" w:pos="9345"/>
        </w:tabs>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end"/>
      </w:r>
    </w:p>
    <w:p w14:paraId="59F53BEF">
      <w:pPr>
        <w:pStyle w:val="99"/>
        <w:keepNext w:val="0"/>
        <w:keepLines w:val="0"/>
        <w:pageBreakBefore w:val="0"/>
        <w:widowControl w:val="0"/>
        <w:kinsoku/>
        <w:wordWrap/>
        <w:overflowPunct/>
        <w:topLinePunct w:val="0"/>
        <w:autoSpaceDE/>
        <w:autoSpaceDN/>
        <w:bidi w:val="0"/>
        <w:adjustRightInd/>
        <w:snapToGrid/>
        <w:spacing w:before="0" w:after="0"/>
        <w:ind w:left="0" w:leftChars="0" w:firstLine="0" w:firstLineChars="0"/>
        <w:jc w:val="both"/>
        <w:textAlignment w:val="auto"/>
        <w:outlineLvl w:val="9"/>
        <w:rPr>
          <w:rFonts w:hint="default" w:ascii="Times New Roman" w:hAnsi="Times New Roman" w:eastAsia="宋体" w:cs="Times New Roman"/>
          <w:sz w:val="21"/>
          <w:szCs w:val="21"/>
          <w:highlight w:val="none"/>
        </w:rPr>
      </w:pPr>
    </w:p>
    <w:p w14:paraId="397E6FF7">
      <w:pPr>
        <w:pStyle w:val="33"/>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TOC \h \c "表"</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_Toc22555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表 1  基本参数</w:t>
      </w:r>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_Toc22555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6</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69187B25">
      <w:pPr>
        <w:pStyle w:val="33"/>
        <w:keepNext w:val="0"/>
        <w:keepLines w:val="0"/>
        <w:pageBreakBefore w:val="0"/>
        <w:widowControl w:val="0"/>
        <w:tabs>
          <w:tab w:val="right" w:leader="dot" w:pos="9355"/>
        </w:tabs>
        <w:kinsoku/>
        <w:wordWrap/>
        <w:overflowPunct/>
        <w:topLinePunct w:val="0"/>
        <w:autoSpaceDE/>
        <w:autoSpaceDN/>
        <w:bidi w:val="0"/>
        <w:adjustRightInd/>
        <w:snapToGrid/>
        <w:ind w:left="0" w:leftChars="0" w:firstLine="0" w:firstLineChars="0"/>
        <w:textAlignment w:val="auto"/>
        <w:outlineLvl w:val="9"/>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HYPERLINK \l _Toc18407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表 2  检验项目</w:t>
      </w:r>
      <w:bookmarkStart w:id="624" w:name="_GoBack"/>
      <w:bookmarkEnd w:id="624"/>
      <w:r>
        <w:rPr>
          <w:rFonts w:hint="default" w:ascii="Times New Roman" w:hAnsi="Times New Roman" w:eastAsia="宋体" w:cs="Times New Roman"/>
          <w:sz w:val="21"/>
          <w:szCs w:val="21"/>
          <w:highlight w:val="none"/>
        </w:rPr>
        <w:tab/>
      </w:r>
      <w:r>
        <w:rPr>
          <w:rFonts w:hint="default" w:ascii="Times New Roman" w:hAnsi="Times New Roman" w:eastAsia="宋体" w:cs="Times New Roman"/>
          <w:sz w:val="21"/>
          <w:szCs w:val="21"/>
          <w:highlight w:val="none"/>
        </w:rPr>
        <w:fldChar w:fldCharType="begin"/>
      </w:r>
      <w:r>
        <w:rPr>
          <w:rFonts w:hint="default" w:ascii="Times New Roman" w:hAnsi="Times New Roman" w:eastAsia="宋体" w:cs="Times New Roman"/>
          <w:sz w:val="21"/>
          <w:szCs w:val="21"/>
          <w:highlight w:val="none"/>
        </w:rPr>
        <w:instrText xml:space="preserve"> PAGEREF _Toc18407 \h </w:instrText>
      </w:r>
      <w:r>
        <w:rPr>
          <w:rFonts w:hint="default" w:ascii="Times New Roman" w:hAnsi="Times New Roman" w:eastAsia="宋体" w:cs="Times New Roman"/>
          <w:sz w:val="21"/>
          <w:szCs w:val="21"/>
          <w:highlight w:val="none"/>
        </w:rPr>
        <w:fldChar w:fldCharType="separate"/>
      </w:r>
      <w:r>
        <w:rPr>
          <w:rFonts w:hint="default" w:ascii="Times New Roman" w:hAnsi="Times New Roman" w:eastAsia="宋体" w:cs="Times New Roman"/>
          <w:sz w:val="21"/>
          <w:szCs w:val="21"/>
          <w:highlight w:val="none"/>
        </w:rPr>
        <w:t>11</w:t>
      </w:r>
      <w:r>
        <w:rPr>
          <w:rFonts w:hint="default" w:ascii="Times New Roman" w:hAnsi="Times New Roman" w:eastAsia="宋体" w:cs="Times New Roman"/>
          <w:sz w:val="21"/>
          <w:szCs w:val="21"/>
          <w:highlight w:val="none"/>
        </w:rPr>
        <w:fldChar w:fldCharType="end"/>
      </w:r>
      <w:r>
        <w:rPr>
          <w:rFonts w:hint="default" w:ascii="Times New Roman" w:hAnsi="Times New Roman" w:eastAsia="宋体" w:cs="Times New Roman"/>
          <w:sz w:val="21"/>
          <w:szCs w:val="21"/>
          <w:highlight w:val="none"/>
        </w:rPr>
        <w:fldChar w:fldCharType="end"/>
      </w:r>
    </w:p>
    <w:p w14:paraId="170ACDC0">
      <w:pPr>
        <w:pStyle w:val="99"/>
        <w:keepNext w:val="0"/>
        <w:keepLines w:val="0"/>
        <w:pageBreakBefore w:val="0"/>
        <w:widowControl w:val="0"/>
        <w:kinsoku/>
        <w:wordWrap/>
        <w:overflowPunct/>
        <w:topLinePunct w:val="0"/>
        <w:autoSpaceDE/>
        <w:autoSpaceDN/>
        <w:bidi w:val="0"/>
        <w:adjustRightInd/>
        <w:snapToGrid/>
        <w:spacing w:before="0" w:after="0"/>
        <w:ind w:left="0" w:leftChars="0" w:firstLine="0" w:firstLineChars="0"/>
        <w:jc w:val="both"/>
        <w:textAlignment w:val="auto"/>
        <w:outlineLvl w:val="9"/>
        <w:rPr>
          <w:rFonts w:ascii="Times New Roman" w:eastAsia="宋体"/>
          <w:sz w:val="21"/>
          <w:szCs w:val="21"/>
          <w:highlight w:val="none"/>
        </w:rPr>
        <w:sectPr>
          <w:headerReference r:id="rId5" w:type="default"/>
          <w:footerReference r:id="rId6" w:type="default"/>
          <w:pgSz w:w="11906" w:h="16838"/>
          <w:pgMar w:top="567" w:right="1134" w:bottom="1134" w:left="1417" w:header="1418" w:footer="1134" w:gutter="0"/>
          <w:pgNumType w:fmt="upperRoman" w:start="1"/>
          <w:cols w:space="720" w:num="1"/>
          <w:formProt w:val="0"/>
          <w:docGrid w:type="lines" w:linePitch="312" w:charSpace="0"/>
        </w:sectPr>
      </w:pPr>
      <w:r>
        <w:rPr>
          <w:rFonts w:hint="default" w:ascii="Times New Roman" w:hAnsi="Times New Roman" w:eastAsia="宋体" w:cs="Times New Roman"/>
          <w:sz w:val="21"/>
          <w:szCs w:val="21"/>
          <w:highlight w:val="none"/>
        </w:rPr>
        <w:fldChar w:fldCharType="end"/>
      </w:r>
    </w:p>
    <w:p w14:paraId="1483FC92">
      <w:pPr>
        <w:pStyle w:val="99"/>
        <w:keepNext w:val="0"/>
        <w:pageBreakBefore w:val="0"/>
        <w:widowControl w:val="0"/>
        <w:spacing w:before="540" w:after="600"/>
        <w:rPr>
          <w:highlight w:val="none"/>
        </w:rPr>
      </w:pPr>
      <w:bookmarkStart w:id="15" w:name="_Toc4687"/>
      <w:r>
        <w:rPr>
          <w:rFonts w:hint="eastAsia"/>
          <w:highlight w:val="none"/>
        </w:rPr>
        <w:t>前</w:t>
      </w:r>
      <w:bookmarkStart w:id="16" w:name="BKQY"/>
      <w:r>
        <w:rPr>
          <w:rFonts w:hint="eastAsia"/>
          <w:highlight w:val="none"/>
        </w:rPr>
        <w:t xml:space="preserve">  言</w:t>
      </w:r>
      <w:bookmarkEnd w:id="15"/>
      <w:bookmarkEnd w:id="16"/>
    </w:p>
    <w:p w14:paraId="267D1AE6">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本文件按照GB/T 1.1—2020《标准化工作导则 第1部分：标准化文件的结构和起草规则》的规定起草。</w:t>
      </w:r>
    </w:p>
    <w:p w14:paraId="287DA353">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 xml:space="preserve">本文件代替JB/T 11370—2013《上粉机》，与JB/T </w:t>
      </w:r>
      <w:r>
        <w:rPr>
          <w:rFonts w:ascii="宋体" w:hAnsi="宋体"/>
          <w:kern w:val="0"/>
          <w:szCs w:val="20"/>
          <w:highlight w:val="none"/>
        </w:rPr>
        <w:t>1</w:t>
      </w:r>
      <w:r>
        <w:rPr>
          <w:rFonts w:hint="eastAsia" w:ascii="宋体" w:hAnsi="宋体"/>
          <w:kern w:val="0"/>
          <w:szCs w:val="20"/>
          <w:highlight w:val="none"/>
        </w:rPr>
        <w:t>1370—2013相比，除编辑性修改外，主要技术变化如下：</w:t>
      </w:r>
    </w:p>
    <w:p w14:paraId="76EF82B6">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a）增加了“生产能力”“上粉质量”“上粉率”“平板式上粉机”“滚筒式上粉机”“制造执行系统”“自动控制系统”术语和定义（见3.2、3.3、3.4、3.9、3.10、3.11、3.12）；</w:t>
      </w:r>
    </w:p>
    <w:p w14:paraId="5D767EF8">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b）更改了“输入、输出高度”术语和定义（见3.6，2013年版的3.5）；</w:t>
      </w:r>
    </w:p>
    <w:p w14:paraId="25F1DDDE">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c）增加了“型式”（见4.1）</w:t>
      </w:r>
      <w:r>
        <w:rPr>
          <w:rFonts w:ascii="宋体" w:hAnsi="宋体"/>
          <w:kern w:val="0"/>
          <w:szCs w:val="20"/>
          <w:highlight w:val="none"/>
        </w:rPr>
        <w:t>；</w:t>
      </w:r>
    </w:p>
    <w:p w14:paraId="4AD94518">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d）更改了</w:t>
      </w:r>
      <w:r>
        <w:rPr>
          <w:rFonts w:ascii="宋体" w:hAnsi="宋体"/>
          <w:kern w:val="0"/>
          <w:szCs w:val="20"/>
          <w:highlight w:val="none"/>
        </w:rPr>
        <w:t>“型号”编制方法（见4.2，201</w:t>
      </w:r>
      <w:r>
        <w:rPr>
          <w:rFonts w:hint="eastAsia" w:ascii="宋体" w:hAnsi="宋体"/>
          <w:kern w:val="0"/>
          <w:szCs w:val="20"/>
          <w:highlight w:val="none"/>
        </w:rPr>
        <w:t>3</w:t>
      </w:r>
      <w:r>
        <w:rPr>
          <w:rFonts w:ascii="宋体" w:hAnsi="宋体"/>
          <w:kern w:val="0"/>
          <w:szCs w:val="20"/>
          <w:highlight w:val="none"/>
        </w:rPr>
        <w:t>年版的4.1）；</w:t>
      </w:r>
    </w:p>
    <w:p w14:paraId="0C3C9372">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e</w:t>
      </w:r>
      <w:r>
        <w:rPr>
          <w:rFonts w:ascii="宋体" w:hAnsi="宋体"/>
          <w:kern w:val="0"/>
          <w:szCs w:val="20"/>
          <w:highlight w:val="none"/>
        </w:rPr>
        <w:t>）将“一般要求”更改为“材料要求”“加工要求”</w:t>
      </w:r>
      <w:r>
        <w:rPr>
          <w:rFonts w:hint="eastAsia" w:ascii="宋体" w:hAnsi="宋体"/>
          <w:kern w:val="0"/>
          <w:szCs w:val="20"/>
          <w:highlight w:val="none"/>
        </w:rPr>
        <w:t>“装配要求”“主要零部件及系统要求”</w:t>
      </w:r>
      <w:r>
        <w:rPr>
          <w:rFonts w:ascii="宋体" w:hAnsi="宋体"/>
          <w:kern w:val="0"/>
          <w:szCs w:val="20"/>
          <w:highlight w:val="none"/>
        </w:rPr>
        <w:t>，并将201</w:t>
      </w:r>
      <w:r>
        <w:rPr>
          <w:rFonts w:hint="eastAsia" w:ascii="宋体" w:hAnsi="宋体"/>
          <w:kern w:val="0"/>
          <w:szCs w:val="20"/>
          <w:highlight w:val="none"/>
        </w:rPr>
        <w:t>3</w:t>
      </w:r>
      <w:r>
        <w:rPr>
          <w:rFonts w:ascii="宋体" w:hAnsi="宋体"/>
          <w:kern w:val="0"/>
          <w:szCs w:val="20"/>
          <w:highlight w:val="none"/>
        </w:rPr>
        <w:t>年版的有关内容更改后纳入（见5.1、5.2、5.3</w:t>
      </w:r>
      <w:r>
        <w:rPr>
          <w:rFonts w:hint="eastAsia" w:ascii="宋体" w:hAnsi="宋体"/>
          <w:kern w:val="0"/>
          <w:szCs w:val="20"/>
          <w:highlight w:val="none"/>
          <w:lang w:eastAsia="zh-CN"/>
        </w:rPr>
        <w:t>、</w:t>
      </w:r>
      <w:r>
        <w:rPr>
          <w:rFonts w:hint="eastAsia" w:ascii="宋体" w:hAnsi="宋体"/>
          <w:kern w:val="0"/>
          <w:szCs w:val="20"/>
          <w:highlight w:val="none"/>
          <w:lang w:val="en-US" w:eastAsia="zh-CN"/>
        </w:rPr>
        <w:t>5.4</w:t>
      </w:r>
      <w:r>
        <w:rPr>
          <w:rFonts w:ascii="宋体" w:hAnsi="宋体"/>
          <w:kern w:val="0"/>
          <w:szCs w:val="20"/>
          <w:highlight w:val="none"/>
        </w:rPr>
        <w:t>，201</w:t>
      </w:r>
      <w:r>
        <w:rPr>
          <w:rFonts w:hint="eastAsia" w:ascii="宋体" w:hAnsi="宋体"/>
          <w:kern w:val="0"/>
          <w:szCs w:val="20"/>
          <w:highlight w:val="none"/>
        </w:rPr>
        <w:t>3</w:t>
      </w:r>
      <w:r>
        <w:rPr>
          <w:rFonts w:ascii="宋体" w:hAnsi="宋体"/>
          <w:kern w:val="0"/>
          <w:szCs w:val="20"/>
          <w:highlight w:val="none"/>
        </w:rPr>
        <w:t>年版的5.1）</w:t>
      </w:r>
      <w:r>
        <w:rPr>
          <w:rFonts w:hint="eastAsia" w:ascii="宋体" w:hAnsi="宋体"/>
          <w:kern w:val="0"/>
          <w:szCs w:val="20"/>
          <w:highlight w:val="none"/>
        </w:rPr>
        <w:t>；</w:t>
      </w:r>
    </w:p>
    <w:p w14:paraId="345F7E46">
      <w:pPr>
        <w:widowControl/>
        <w:autoSpaceDE w:val="0"/>
        <w:autoSpaceDN w:val="0"/>
        <w:spacing w:line="360" w:lineRule="exact"/>
        <w:ind w:firstLine="420" w:firstLineChars="200"/>
        <w:rPr>
          <w:rFonts w:ascii="宋体" w:hAnsi="宋体"/>
          <w:kern w:val="0"/>
          <w:szCs w:val="20"/>
          <w:highlight w:val="none"/>
        </w:rPr>
      </w:pPr>
      <w:r>
        <w:rPr>
          <w:rFonts w:hint="eastAsia" w:ascii="宋体" w:hAnsi="宋体"/>
          <w:kern w:val="0"/>
          <w:szCs w:val="20"/>
          <w:highlight w:val="none"/>
        </w:rPr>
        <w:t>f</w:t>
      </w:r>
      <w:r>
        <w:rPr>
          <w:rFonts w:ascii="宋体" w:hAnsi="宋体"/>
          <w:kern w:val="0"/>
          <w:szCs w:val="20"/>
          <w:highlight w:val="none"/>
        </w:rPr>
        <w:t>）将</w:t>
      </w:r>
      <w:r>
        <w:rPr>
          <w:rFonts w:hint="eastAsia" w:ascii="宋体" w:hAnsi="宋体"/>
          <w:kern w:val="0"/>
          <w:szCs w:val="20"/>
          <w:highlight w:val="none"/>
          <w:lang w:eastAsia="zh-CN"/>
        </w:rPr>
        <w:t>“</w:t>
      </w:r>
      <w:r>
        <w:rPr>
          <w:rFonts w:hint="eastAsia" w:ascii="宋体" w:hAnsi="宋体"/>
          <w:kern w:val="0"/>
          <w:szCs w:val="20"/>
          <w:highlight w:val="none"/>
          <w:lang w:val="en-US" w:eastAsia="zh-CN"/>
        </w:rPr>
        <w:t>外观质量</w:t>
      </w:r>
      <w:r>
        <w:rPr>
          <w:rFonts w:hint="eastAsia" w:ascii="宋体" w:hAnsi="宋体"/>
          <w:kern w:val="0"/>
          <w:szCs w:val="20"/>
          <w:highlight w:val="none"/>
          <w:lang w:eastAsia="zh-CN"/>
        </w:rPr>
        <w:t>”</w:t>
      </w:r>
      <w:r>
        <w:rPr>
          <w:rFonts w:ascii="宋体" w:hAnsi="宋体"/>
          <w:kern w:val="0"/>
          <w:szCs w:val="20"/>
          <w:highlight w:val="none"/>
        </w:rPr>
        <w:t>“</w:t>
      </w:r>
      <w:r>
        <w:rPr>
          <w:rFonts w:hint="eastAsia" w:ascii="宋体" w:hAnsi="宋体"/>
          <w:kern w:val="0"/>
          <w:szCs w:val="20"/>
          <w:highlight w:val="none"/>
        </w:rPr>
        <w:t>安全卫生</w:t>
      </w:r>
      <w:r>
        <w:rPr>
          <w:rFonts w:ascii="宋体" w:hAnsi="宋体"/>
          <w:kern w:val="0"/>
          <w:szCs w:val="20"/>
          <w:highlight w:val="none"/>
        </w:rPr>
        <w:t>”</w:t>
      </w:r>
      <w:r>
        <w:rPr>
          <w:rFonts w:hint="eastAsia" w:ascii="宋体" w:hAnsi="宋体"/>
          <w:kern w:val="0"/>
          <w:szCs w:val="20"/>
          <w:highlight w:val="none"/>
        </w:rPr>
        <w:t>“上粉机的润滑”</w:t>
      </w:r>
      <w:r>
        <w:rPr>
          <w:rFonts w:ascii="宋体" w:hAnsi="宋体"/>
          <w:kern w:val="0"/>
          <w:szCs w:val="20"/>
          <w:highlight w:val="none"/>
        </w:rPr>
        <w:t>更改为“卫生安全要求”</w:t>
      </w:r>
      <w:r>
        <w:rPr>
          <w:rFonts w:hint="eastAsia" w:ascii="宋体" w:hAnsi="宋体"/>
          <w:kern w:val="0"/>
          <w:szCs w:val="20"/>
          <w:highlight w:val="none"/>
          <w:lang w:val="en-US" w:eastAsia="zh-CN"/>
        </w:rPr>
        <w:t>和</w:t>
      </w:r>
      <w:r>
        <w:rPr>
          <w:rFonts w:hint="eastAsia" w:ascii="宋体" w:hAnsi="宋体"/>
          <w:kern w:val="0"/>
          <w:szCs w:val="20"/>
          <w:highlight w:val="none"/>
        </w:rPr>
        <w:t>“机械安全要求”</w:t>
      </w:r>
      <w:r>
        <w:rPr>
          <w:rFonts w:ascii="宋体" w:hAnsi="宋体"/>
          <w:kern w:val="0"/>
          <w:szCs w:val="20"/>
          <w:highlight w:val="none"/>
        </w:rPr>
        <w:t>，并将201</w:t>
      </w:r>
      <w:r>
        <w:rPr>
          <w:rFonts w:hint="eastAsia" w:ascii="宋体" w:hAnsi="宋体"/>
          <w:kern w:val="0"/>
          <w:szCs w:val="20"/>
          <w:highlight w:val="none"/>
        </w:rPr>
        <w:t>3</w:t>
      </w:r>
      <w:r>
        <w:rPr>
          <w:rFonts w:ascii="宋体" w:hAnsi="宋体"/>
          <w:kern w:val="0"/>
          <w:szCs w:val="20"/>
          <w:highlight w:val="none"/>
        </w:rPr>
        <w:t>年版的有关内容更改后</w:t>
      </w:r>
      <w:r>
        <w:rPr>
          <w:rFonts w:hint="eastAsia" w:ascii="宋体" w:hAnsi="宋体"/>
          <w:kern w:val="0"/>
          <w:szCs w:val="20"/>
          <w:highlight w:val="none"/>
          <w:lang w:val="en-US" w:eastAsia="zh-CN"/>
        </w:rPr>
        <w:t>分别</w:t>
      </w:r>
      <w:r>
        <w:rPr>
          <w:rFonts w:ascii="宋体" w:hAnsi="宋体"/>
          <w:kern w:val="0"/>
          <w:szCs w:val="20"/>
          <w:highlight w:val="none"/>
        </w:rPr>
        <w:t>纳入（见5.</w:t>
      </w:r>
      <w:r>
        <w:rPr>
          <w:rFonts w:hint="eastAsia" w:ascii="宋体" w:hAnsi="宋体"/>
          <w:kern w:val="0"/>
          <w:szCs w:val="20"/>
          <w:highlight w:val="none"/>
        </w:rPr>
        <w:t>5、5.6</w:t>
      </w:r>
      <w:r>
        <w:rPr>
          <w:rFonts w:ascii="宋体" w:hAnsi="宋体"/>
          <w:kern w:val="0"/>
          <w:szCs w:val="20"/>
          <w:highlight w:val="none"/>
        </w:rPr>
        <w:t>，201</w:t>
      </w:r>
      <w:r>
        <w:rPr>
          <w:rFonts w:hint="eastAsia" w:ascii="宋体" w:hAnsi="宋体"/>
          <w:kern w:val="0"/>
          <w:szCs w:val="20"/>
          <w:highlight w:val="none"/>
        </w:rPr>
        <w:t>3</w:t>
      </w:r>
      <w:r>
        <w:rPr>
          <w:rFonts w:ascii="宋体" w:hAnsi="宋体"/>
          <w:kern w:val="0"/>
          <w:szCs w:val="20"/>
          <w:highlight w:val="none"/>
        </w:rPr>
        <w:t>年版的</w:t>
      </w:r>
      <w:r>
        <w:rPr>
          <w:rFonts w:hint="eastAsia" w:ascii="宋体" w:hAnsi="宋体"/>
          <w:kern w:val="0"/>
          <w:szCs w:val="20"/>
          <w:highlight w:val="none"/>
          <w:lang w:val="en-US" w:eastAsia="zh-CN"/>
        </w:rPr>
        <w:t>5.4、</w:t>
      </w:r>
      <w:r>
        <w:rPr>
          <w:rFonts w:ascii="宋体" w:hAnsi="宋体"/>
          <w:kern w:val="0"/>
          <w:szCs w:val="20"/>
          <w:highlight w:val="none"/>
        </w:rPr>
        <w:t>5.</w:t>
      </w:r>
      <w:r>
        <w:rPr>
          <w:rFonts w:hint="eastAsia" w:ascii="宋体" w:hAnsi="宋体"/>
          <w:kern w:val="0"/>
          <w:szCs w:val="20"/>
          <w:highlight w:val="none"/>
        </w:rPr>
        <w:t>4</w:t>
      </w:r>
      <w:r>
        <w:rPr>
          <w:rFonts w:hint="eastAsia" w:ascii="宋体" w:hAnsi="宋体"/>
          <w:kern w:val="0"/>
          <w:szCs w:val="20"/>
          <w:highlight w:val="none"/>
          <w:lang w:eastAsia="zh-CN"/>
        </w:rPr>
        <w:t>、</w:t>
      </w:r>
      <w:r>
        <w:rPr>
          <w:rFonts w:hint="eastAsia" w:ascii="宋体" w:hAnsi="宋体"/>
          <w:kern w:val="0"/>
          <w:szCs w:val="20"/>
          <w:highlight w:val="none"/>
          <w:lang w:val="en-US" w:eastAsia="zh-CN"/>
        </w:rPr>
        <w:t>5.5</w:t>
      </w:r>
      <w:r>
        <w:rPr>
          <w:rFonts w:ascii="宋体" w:hAnsi="宋体"/>
          <w:kern w:val="0"/>
          <w:szCs w:val="20"/>
          <w:highlight w:val="none"/>
        </w:rPr>
        <w:t>）；</w:t>
      </w:r>
    </w:p>
    <w:p w14:paraId="63791BF8">
      <w:pPr>
        <w:widowControl/>
        <w:autoSpaceDE w:val="0"/>
        <w:autoSpaceDN w:val="0"/>
        <w:spacing w:line="360" w:lineRule="exact"/>
        <w:ind w:firstLine="420" w:firstLineChars="200"/>
        <w:rPr>
          <w:highlight w:val="none"/>
        </w:rPr>
      </w:pPr>
      <w:r>
        <w:rPr>
          <w:rFonts w:hint="eastAsia" w:ascii="宋体" w:hAnsi="宋体"/>
          <w:kern w:val="0"/>
          <w:szCs w:val="20"/>
          <w:highlight w:val="none"/>
        </w:rPr>
        <w:t>g</w:t>
      </w:r>
      <w:r>
        <w:rPr>
          <w:rFonts w:ascii="宋体" w:hAnsi="宋体"/>
          <w:kern w:val="0"/>
          <w:szCs w:val="20"/>
          <w:highlight w:val="none"/>
        </w:rPr>
        <w:t>）</w:t>
      </w:r>
      <w:r>
        <w:rPr>
          <w:rFonts w:hint="eastAsia" w:ascii="宋体" w:hAnsi="宋体"/>
          <w:kern w:val="0"/>
          <w:szCs w:val="20"/>
          <w:highlight w:val="none"/>
        </w:rPr>
        <w:t>更改了</w:t>
      </w:r>
      <w:r>
        <w:rPr>
          <w:rFonts w:ascii="宋体" w:hAnsi="宋体"/>
          <w:kern w:val="0"/>
          <w:szCs w:val="20"/>
          <w:highlight w:val="none"/>
        </w:rPr>
        <w:t>“</w:t>
      </w:r>
      <w:r>
        <w:rPr>
          <w:rFonts w:hint="eastAsia" w:ascii="宋体" w:hAnsi="宋体"/>
          <w:kern w:val="0"/>
          <w:szCs w:val="20"/>
          <w:highlight w:val="none"/>
        </w:rPr>
        <w:t>电气安全</w:t>
      </w:r>
      <w:r>
        <w:rPr>
          <w:rFonts w:ascii="宋体" w:hAnsi="宋体"/>
          <w:kern w:val="0"/>
          <w:szCs w:val="20"/>
          <w:highlight w:val="none"/>
        </w:rPr>
        <w:t>要求”的引用标准和规定条款（见5.7，201</w:t>
      </w:r>
      <w:r>
        <w:rPr>
          <w:rFonts w:hint="eastAsia" w:ascii="宋体" w:hAnsi="宋体"/>
          <w:kern w:val="0"/>
          <w:szCs w:val="20"/>
          <w:highlight w:val="none"/>
        </w:rPr>
        <w:t>3</w:t>
      </w:r>
      <w:r>
        <w:rPr>
          <w:rFonts w:ascii="宋体" w:hAnsi="宋体"/>
          <w:kern w:val="0"/>
          <w:szCs w:val="20"/>
          <w:highlight w:val="none"/>
        </w:rPr>
        <w:t>年版的5.</w:t>
      </w:r>
      <w:r>
        <w:rPr>
          <w:rFonts w:hint="eastAsia" w:ascii="宋体" w:hAnsi="宋体"/>
          <w:kern w:val="0"/>
          <w:szCs w:val="20"/>
          <w:highlight w:val="none"/>
        </w:rPr>
        <w:t>3</w:t>
      </w:r>
      <w:r>
        <w:rPr>
          <w:rFonts w:ascii="宋体" w:hAnsi="宋体"/>
          <w:kern w:val="0"/>
          <w:szCs w:val="20"/>
          <w:highlight w:val="none"/>
        </w:rPr>
        <w:t>）；</w:t>
      </w:r>
    </w:p>
    <w:p w14:paraId="3832F061">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h）</w:t>
      </w:r>
      <w:r>
        <w:rPr>
          <w:rFonts w:ascii="宋体" w:hAnsi="宋体"/>
          <w:kern w:val="0"/>
          <w:szCs w:val="20"/>
          <w:highlight w:val="none"/>
        </w:rPr>
        <w:t>更改了表格中性能项目和指标（见表</w:t>
      </w:r>
      <w:r>
        <w:rPr>
          <w:rFonts w:hint="eastAsia" w:ascii="宋体" w:hAnsi="宋体"/>
          <w:kern w:val="0"/>
          <w:szCs w:val="20"/>
          <w:highlight w:val="none"/>
        </w:rPr>
        <w:t>1</w:t>
      </w:r>
      <w:r>
        <w:rPr>
          <w:rFonts w:ascii="宋体" w:hAnsi="宋体"/>
          <w:kern w:val="0"/>
          <w:szCs w:val="20"/>
          <w:highlight w:val="none"/>
        </w:rPr>
        <w:t>，201</w:t>
      </w:r>
      <w:r>
        <w:rPr>
          <w:rFonts w:hint="eastAsia" w:ascii="宋体" w:hAnsi="宋体"/>
          <w:kern w:val="0"/>
          <w:szCs w:val="20"/>
          <w:highlight w:val="none"/>
        </w:rPr>
        <w:t>3</w:t>
      </w:r>
      <w:r>
        <w:rPr>
          <w:rFonts w:ascii="宋体" w:hAnsi="宋体"/>
          <w:kern w:val="0"/>
          <w:szCs w:val="20"/>
          <w:highlight w:val="none"/>
        </w:rPr>
        <w:t>年版的表1）；</w:t>
      </w:r>
    </w:p>
    <w:p w14:paraId="153C99AD">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i</w:t>
      </w:r>
      <w:r>
        <w:rPr>
          <w:rFonts w:ascii="宋体" w:hAnsi="宋体"/>
          <w:kern w:val="0"/>
          <w:szCs w:val="20"/>
          <w:highlight w:val="none"/>
        </w:rPr>
        <w:t>）增加了</w:t>
      </w:r>
      <w:r>
        <w:rPr>
          <w:rFonts w:hint="eastAsia" w:ascii="宋体" w:hAnsi="宋体"/>
          <w:kern w:val="0"/>
          <w:szCs w:val="20"/>
          <w:highlight w:val="none"/>
        </w:rPr>
        <w:t>“加工能力试验”</w:t>
      </w:r>
      <w:r>
        <w:rPr>
          <w:rFonts w:ascii="宋体" w:hAnsi="宋体"/>
          <w:kern w:val="0"/>
          <w:szCs w:val="20"/>
          <w:highlight w:val="none"/>
        </w:rPr>
        <w:t>“</w:t>
      </w:r>
      <w:r>
        <w:rPr>
          <w:rFonts w:hint="eastAsia" w:ascii="宋体" w:hAnsi="宋体"/>
          <w:kern w:val="0"/>
          <w:szCs w:val="20"/>
          <w:highlight w:val="none"/>
        </w:rPr>
        <w:t>上粉质量</w:t>
      </w:r>
      <w:r>
        <w:rPr>
          <w:rFonts w:ascii="宋体" w:hAnsi="宋体"/>
          <w:kern w:val="0"/>
          <w:szCs w:val="20"/>
          <w:highlight w:val="none"/>
        </w:rPr>
        <w:t>试验”“</w:t>
      </w:r>
      <w:r>
        <w:rPr>
          <w:rFonts w:hint="eastAsia" w:ascii="宋体" w:hAnsi="宋体"/>
          <w:kern w:val="0"/>
          <w:szCs w:val="20"/>
          <w:highlight w:val="none"/>
        </w:rPr>
        <w:t>网带宽度测量</w:t>
      </w:r>
      <w:r>
        <w:rPr>
          <w:rFonts w:ascii="宋体" w:hAnsi="宋体"/>
          <w:kern w:val="0"/>
          <w:szCs w:val="20"/>
          <w:highlight w:val="none"/>
        </w:rPr>
        <w:t>”“</w:t>
      </w:r>
      <w:r>
        <w:rPr>
          <w:rFonts w:hint="eastAsia" w:ascii="宋体" w:hAnsi="宋体"/>
          <w:kern w:val="0"/>
          <w:szCs w:val="20"/>
          <w:highlight w:val="none"/>
        </w:rPr>
        <w:t>输送速度</w:t>
      </w:r>
      <w:r>
        <w:rPr>
          <w:rFonts w:ascii="宋体" w:hAnsi="宋体"/>
          <w:kern w:val="0"/>
          <w:szCs w:val="20"/>
          <w:highlight w:val="none"/>
        </w:rPr>
        <w:t>试验”</w:t>
      </w:r>
      <w:r>
        <w:rPr>
          <w:rFonts w:hint="eastAsia" w:ascii="宋体" w:hAnsi="宋体"/>
          <w:kern w:val="0"/>
          <w:szCs w:val="20"/>
          <w:highlight w:val="none"/>
        </w:rPr>
        <w:t>“速度调节试验”“输入、输出高度测量”“物料高度测量”</w:t>
      </w:r>
      <w:r>
        <w:rPr>
          <w:rFonts w:ascii="宋体" w:hAnsi="宋体"/>
          <w:kern w:val="0"/>
          <w:szCs w:val="20"/>
          <w:highlight w:val="none"/>
        </w:rPr>
        <w:t>（见6.9.2</w:t>
      </w:r>
      <w:r>
        <w:rPr>
          <w:rFonts w:hint="eastAsia" w:ascii="宋体" w:hAnsi="宋体"/>
          <w:kern w:val="0"/>
          <w:szCs w:val="20"/>
          <w:highlight w:val="none"/>
        </w:rPr>
        <w:t>.1</w:t>
      </w:r>
      <w:r>
        <w:rPr>
          <w:rFonts w:ascii="宋体" w:hAnsi="宋体"/>
          <w:kern w:val="0"/>
          <w:szCs w:val="20"/>
          <w:highlight w:val="none"/>
        </w:rPr>
        <w:t>、6.9.2</w:t>
      </w:r>
      <w:r>
        <w:rPr>
          <w:rFonts w:hint="eastAsia" w:ascii="宋体" w:hAnsi="宋体"/>
          <w:kern w:val="0"/>
          <w:szCs w:val="20"/>
          <w:highlight w:val="none"/>
        </w:rPr>
        <w:t>.2</w:t>
      </w:r>
      <w:r>
        <w:rPr>
          <w:rFonts w:ascii="宋体" w:hAnsi="宋体"/>
          <w:kern w:val="0"/>
          <w:szCs w:val="20"/>
          <w:highlight w:val="none"/>
        </w:rPr>
        <w:t>、6.9.</w:t>
      </w:r>
      <w:r>
        <w:rPr>
          <w:rFonts w:hint="eastAsia" w:ascii="宋体" w:hAnsi="宋体"/>
          <w:kern w:val="0"/>
          <w:szCs w:val="20"/>
          <w:highlight w:val="none"/>
        </w:rPr>
        <w:t>2.3</w:t>
      </w:r>
      <w:r>
        <w:rPr>
          <w:rFonts w:ascii="宋体" w:hAnsi="宋体"/>
          <w:kern w:val="0"/>
          <w:szCs w:val="20"/>
          <w:highlight w:val="none"/>
        </w:rPr>
        <w:t>、6.9.</w:t>
      </w:r>
      <w:r>
        <w:rPr>
          <w:rFonts w:hint="eastAsia" w:ascii="宋体" w:hAnsi="宋体"/>
          <w:kern w:val="0"/>
          <w:szCs w:val="20"/>
          <w:highlight w:val="none"/>
        </w:rPr>
        <w:t>2.5、</w:t>
      </w:r>
      <w:r>
        <w:rPr>
          <w:rFonts w:ascii="宋体" w:hAnsi="宋体"/>
          <w:kern w:val="0"/>
          <w:szCs w:val="20"/>
          <w:highlight w:val="none"/>
        </w:rPr>
        <w:t>6.9.</w:t>
      </w:r>
      <w:r>
        <w:rPr>
          <w:rFonts w:hint="eastAsia" w:ascii="宋体" w:hAnsi="宋体"/>
          <w:kern w:val="0"/>
          <w:szCs w:val="20"/>
          <w:highlight w:val="none"/>
        </w:rPr>
        <w:t>2.6、</w:t>
      </w:r>
      <w:r>
        <w:rPr>
          <w:rFonts w:ascii="宋体" w:hAnsi="宋体"/>
          <w:kern w:val="0"/>
          <w:szCs w:val="20"/>
          <w:highlight w:val="none"/>
        </w:rPr>
        <w:t>6.9.</w:t>
      </w:r>
      <w:r>
        <w:rPr>
          <w:rFonts w:hint="eastAsia" w:ascii="宋体" w:hAnsi="宋体"/>
          <w:kern w:val="0"/>
          <w:szCs w:val="20"/>
          <w:highlight w:val="none"/>
        </w:rPr>
        <w:t>2.7</w:t>
      </w:r>
      <w:r>
        <w:rPr>
          <w:rFonts w:ascii="宋体" w:hAnsi="宋体"/>
          <w:kern w:val="0"/>
          <w:szCs w:val="20"/>
          <w:highlight w:val="none"/>
        </w:rPr>
        <w:t>）；</w:t>
      </w:r>
    </w:p>
    <w:p w14:paraId="50E02C8E">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j</w:t>
      </w:r>
      <w:r>
        <w:rPr>
          <w:rFonts w:ascii="宋体" w:hAnsi="宋体"/>
          <w:kern w:val="0"/>
          <w:szCs w:val="20"/>
          <w:highlight w:val="none"/>
        </w:rPr>
        <w:t>）增加了检查项目表格（见表</w:t>
      </w:r>
      <w:r>
        <w:rPr>
          <w:rFonts w:hint="eastAsia" w:ascii="宋体" w:hAnsi="宋体"/>
          <w:kern w:val="0"/>
          <w:szCs w:val="20"/>
          <w:highlight w:val="none"/>
        </w:rPr>
        <w:t>2</w:t>
      </w:r>
      <w:r>
        <w:rPr>
          <w:rFonts w:ascii="宋体" w:hAnsi="宋体"/>
          <w:kern w:val="0"/>
          <w:szCs w:val="20"/>
          <w:highlight w:val="none"/>
        </w:rPr>
        <w:t>）</w:t>
      </w:r>
      <w:r>
        <w:rPr>
          <w:rFonts w:hint="eastAsia" w:ascii="宋体" w:hAnsi="宋体"/>
          <w:kern w:val="0"/>
          <w:szCs w:val="20"/>
          <w:highlight w:val="none"/>
        </w:rPr>
        <w:t>。</w:t>
      </w:r>
    </w:p>
    <w:p w14:paraId="69BF767F">
      <w:pPr>
        <w:widowControl/>
        <w:autoSpaceDE w:val="0"/>
        <w:autoSpaceDN w:val="0"/>
        <w:spacing w:line="360" w:lineRule="exact"/>
        <w:ind w:firstLine="420" w:firstLineChars="200"/>
        <w:rPr>
          <w:rFonts w:hint="eastAsia" w:ascii="宋体" w:hAnsi="宋体"/>
          <w:kern w:val="0"/>
          <w:szCs w:val="20"/>
          <w:highlight w:val="none"/>
        </w:rPr>
      </w:pPr>
      <w:r>
        <w:rPr>
          <w:rFonts w:ascii="宋体" w:hAnsi="宋体"/>
          <w:kern w:val="0"/>
          <w:szCs w:val="20"/>
          <w:highlight w:val="none"/>
        </w:rPr>
        <w:t>请注意本文件的某些内容可能涉及专利。本文件的发布机构不承担识别专利的责任。</w:t>
      </w:r>
    </w:p>
    <w:p w14:paraId="7131CE49">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本文件由中国机械工业联合会提出。</w:t>
      </w:r>
    </w:p>
    <w:p w14:paraId="1EC3B2CB">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本文件由机械工业食品机械标准化技术委员会（CMIF/TC 14）归口。</w:t>
      </w:r>
    </w:p>
    <w:p w14:paraId="54AEDB5B">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本文件起草单位：</w:t>
      </w:r>
    </w:p>
    <w:p w14:paraId="53220215">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本文件主要起草人：</w:t>
      </w:r>
    </w:p>
    <w:p w14:paraId="5AB6B92B">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本文件及其所代替文件的历次版本发布情况为：</w:t>
      </w:r>
    </w:p>
    <w:p w14:paraId="2EEA82C9">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 xml:space="preserve">——2013年首次发布为JB/T </w:t>
      </w:r>
      <w:r>
        <w:rPr>
          <w:rFonts w:ascii="宋体" w:hAnsi="宋体"/>
          <w:kern w:val="0"/>
          <w:szCs w:val="20"/>
          <w:highlight w:val="none"/>
        </w:rPr>
        <w:t>1</w:t>
      </w:r>
      <w:r>
        <w:rPr>
          <w:rFonts w:hint="eastAsia" w:ascii="宋体" w:hAnsi="宋体"/>
          <w:kern w:val="0"/>
          <w:szCs w:val="20"/>
          <w:highlight w:val="none"/>
        </w:rPr>
        <w:t>1370—2013；</w:t>
      </w:r>
    </w:p>
    <w:p w14:paraId="75A81C87">
      <w:pPr>
        <w:widowControl/>
        <w:autoSpaceDE w:val="0"/>
        <w:autoSpaceDN w:val="0"/>
        <w:spacing w:line="360" w:lineRule="exact"/>
        <w:ind w:firstLine="420" w:firstLineChars="200"/>
        <w:rPr>
          <w:rFonts w:hint="eastAsia" w:ascii="宋体" w:hAnsi="宋体"/>
          <w:kern w:val="0"/>
          <w:szCs w:val="20"/>
          <w:highlight w:val="none"/>
        </w:rPr>
      </w:pPr>
      <w:r>
        <w:rPr>
          <w:rFonts w:hint="eastAsia" w:ascii="宋体" w:hAnsi="宋体"/>
          <w:kern w:val="0"/>
          <w:szCs w:val="20"/>
          <w:highlight w:val="none"/>
        </w:rPr>
        <w:t>——本次为第一次修订。</w:t>
      </w:r>
    </w:p>
    <w:p w14:paraId="4D5B5A22">
      <w:pPr>
        <w:widowControl/>
        <w:autoSpaceDE w:val="0"/>
        <w:autoSpaceDN w:val="0"/>
        <w:ind w:firstLine="420" w:firstLineChars="200"/>
        <w:rPr>
          <w:rFonts w:hint="eastAsia" w:ascii="宋体" w:hAnsi="宋体"/>
          <w:kern w:val="0"/>
          <w:szCs w:val="20"/>
          <w:highlight w:val="none"/>
        </w:rPr>
      </w:pPr>
    </w:p>
    <w:p w14:paraId="449DA431">
      <w:pPr>
        <w:widowControl/>
        <w:autoSpaceDE w:val="0"/>
        <w:autoSpaceDN w:val="0"/>
        <w:ind w:firstLine="420" w:firstLineChars="200"/>
        <w:rPr>
          <w:rFonts w:hint="eastAsia" w:ascii="宋体" w:hAnsi="宋体"/>
          <w:kern w:val="0"/>
          <w:szCs w:val="20"/>
          <w:highlight w:val="none"/>
        </w:rPr>
      </w:pPr>
    </w:p>
    <w:p w14:paraId="6EB0BD78">
      <w:pPr>
        <w:pStyle w:val="28"/>
        <w:ind w:firstLine="0" w:firstLineChars="0"/>
        <w:rPr>
          <w:highlight w:val="none"/>
        </w:rPr>
        <w:sectPr>
          <w:pgSz w:w="11906" w:h="16838"/>
          <w:pgMar w:top="567" w:right="1134" w:bottom="1134" w:left="1417" w:header="1418" w:footer="1134" w:gutter="0"/>
          <w:pgNumType w:fmt="upperRoman" w:start="1"/>
          <w:cols w:space="720" w:num="1"/>
          <w:formProt w:val="0"/>
          <w:docGrid w:type="lines" w:linePitch="312" w:charSpace="0"/>
        </w:sectPr>
      </w:pPr>
    </w:p>
    <w:p w14:paraId="0D61A45A">
      <w:pPr>
        <w:pStyle w:val="77"/>
        <w:keepNext w:val="0"/>
        <w:pageBreakBefore w:val="0"/>
        <w:widowControl w:val="0"/>
        <w:spacing w:before="849" w:after="680" w:line="240" w:lineRule="auto"/>
        <w:rPr>
          <w:highlight w:val="none"/>
        </w:rPr>
      </w:pPr>
      <w:bookmarkStart w:id="17" w:name="_Toc234307533"/>
      <w:bookmarkStart w:id="18" w:name="_Toc196241110"/>
      <w:bookmarkStart w:id="19" w:name="_Toc186914305"/>
      <w:bookmarkStart w:id="20" w:name="_Toc1820"/>
      <w:bookmarkStart w:id="21" w:name="_Toc21717"/>
      <w:r>
        <w:rPr>
          <w:rFonts w:hint="eastAsia"/>
          <w:highlight w:val="none"/>
        </w:rPr>
        <w:t xml:space="preserve">食品机械  </w:t>
      </w:r>
      <w:bookmarkEnd w:id="17"/>
      <w:bookmarkEnd w:id="18"/>
      <w:bookmarkEnd w:id="19"/>
      <w:r>
        <w:rPr>
          <w:rFonts w:hint="eastAsia"/>
          <w:highlight w:val="none"/>
        </w:rPr>
        <w:t>上粉机</w:t>
      </w:r>
      <w:bookmarkEnd w:id="20"/>
      <w:bookmarkEnd w:id="21"/>
    </w:p>
    <w:p w14:paraId="75EAB8A1">
      <w:pPr>
        <w:pStyle w:val="173"/>
        <w:numPr>
          <w:ilvl w:val="1"/>
          <w:numId w:val="18"/>
        </w:numPr>
        <w:spacing w:line="240" w:lineRule="auto"/>
        <w:jc w:val="both"/>
        <w:rPr>
          <w:highlight w:val="none"/>
        </w:rPr>
      </w:pPr>
      <w:bookmarkStart w:id="22" w:name="_Toc196241111"/>
      <w:bookmarkEnd w:id="22"/>
      <w:bookmarkStart w:id="23" w:name="_Toc26694"/>
      <w:bookmarkStart w:id="24" w:name="_Toc16613"/>
      <w:bookmarkStart w:id="25" w:name="_Toc23970"/>
      <w:r>
        <w:rPr>
          <w:highlight w:val="none"/>
        </w:rPr>
        <w:t>范围</w:t>
      </w:r>
      <w:bookmarkEnd w:id="23"/>
      <w:bookmarkEnd w:id="24"/>
      <w:bookmarkEnd w:id="25"/>
    </w:p>
    <w:p w14:paraId="48B9F192">
      <w:pPr>
        <w:widowControl/>
        <w:autoSpaceDE w:val="0"/>
        <w:autoSpaceDN w:val="0"/>
        <w:ind w:firstLine="420" w:firstLineChars="200"/>
        <w:rPr>
          <w:rFonts w:hint="eastAsia" w:ascii="宋体" w:hAnsi="宋体"/>
          <w:kern w:val="0"/>
          <w:szCs w:val="20"/>
          <w:highlight w:val="none"/>
        </w:rPr>
      </w:pPr>
      <w:r>
        <w:rPr>
          <w:rFonts w:ascii="宋体" w:hAnsi="宋体"/>
          <w:kern w:val="0"/>
          <w:szCs w:val="20"/>
          <w:highlight w:val="none"/>
        </w:rPr>
        <w:t>本文件</w:t>
      </w:r>
      <w:r>
        <w:rPr>
          <w:rFonts w:ascii="宋体" w:hAnsi="宋体"/>
          <w:kern w:val="0"/>
          <w:szCs w:val="20"/>
          <w:highlight w:val="none"/>
        </w:rPr>
        <w:t>给出了上粉机的型式与型号，规定了技术要求，描述了相应的试验方法，规定了检验规则、标志、包装、运输和贮存要求</w:t>
      </w:r>
      <w:r>
        <w:rPr>
          <w:rFonts w:hint="eastAsia" w:ascii="宋体" w:hAnsi="宋体"/>
          <w:kern w:val="0"/>
          <w:szCs w:val="20"/>
          <w:highlight w:val="none"/>
        </w:rPr>
        <w:t>。</w:t>
      </w:r>
    </w:p>
    <w:p w14:paraId="20755C43">
      <w:pPr>
        <w:widowControl/>
        <w:autoSpaceDE w:val="0"/>
        <w:autoSpaceDN w:val="0"/>
        <w:ind w:firstLine="420" w:firstLineChars="200"/>
        <w:rPr>
          <w:rFonts w:hint="eastAsia" w:ascii="宋体" w:hAnsi="宋体"/>
          <w:kern w:val="0"/>
          <w:szCs w:val="20"/>
          <w:highlight w:val="none"/>
        </w:rPr>
      </w:pPr>
      <w:r>
        <w:rPr>
          <w:rFonts w:ascii="宋体" w:hAnsi="宋体"/>
          <w:kern w:val="0"/>
          <w:szCs w:val="20"/>
          <w:highlight w:val="none"/>
        </w:rPr>
        <w:t>本文件适用于食品预上粉及最终上粉的上粉机的制造</w:t>
      </w:r>
      <w:r>
        <w:rPr>
          <w:rFonts w:hint="eastAsia" w:ascii="宋体" w:hAnsi="宋体"/>
          <w:kern w:val="0"/>
          <w:szCs w:val="20"/>
          <w:highlight w:val="none"/>
        </w:rPr>
        <w:t>。</w:t>
      </w:r>
    </w:p>
    <w:p w14:paraId="5161313C">
      <w:pPr>
        <w:pStyle w:val="173"/>
        <w:numPr>
          <w:ilvl w:val="1"/>
          <w:numId w:val="18"/>
        </w:numPr>
        <w:spacing w:line="240" w:lineRule="auto"/>
        <w:jc w:val="both"/>
        <w:rPr>
          <w:highlight w:val="none"/>
        </w:rPr>
      </w:pPr>
      <w:bookmarkStart w:id="26" w:name="_Toc15739"/>
      <w:r>
        <w:rPr>
          <w:rFonts w:hint="eastAsia"/>
          <w:highlight w:val="none"/>
        </w:rPr>
        <w:t>规范性引用文件</w:t>
      </w:r>
      <w:bookmarkEnd w:id="26"/>
    </w:p>
    <w:p w14:paraId="18AA9BCC">
      <w:pPr>
        <w:widowControl/>
        <w:autoSpaceDE w:val="0"/>
        <w:autoSpaceDN w:val="0"/>
        <w:ind w:firstLine="420" w:firstLineChars="200"/>
        <w:rPr>
          <w:rFonts w:hint="eastAsia" w:ascii="宋体" w:hAnsi="宋体"/>
          <w:kern w:val="0"/>
          <w:szCs w:val="20"/>
          <w:highlight w:val="none"/>
        </w:rPr>
      </w:pPr>
      <w:r>
        <w:rPr>
          <w:rFonts w:hint="eastAsia" w:ascii="宋体" w:hAnsi="宋体"/>
          <w:kern w:val="0"/>
          <w:szCs w:val="20"/>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6427A225">
      <w:pPr>
        <w:widowControl/>
        <w:autoSpaceDE w:val="0"/>
        <w:autoSpaceDN w:val="0"/>
        <w:ind w:firstLine="420" w:firstLineChars="200"/>
        <w:rPr>
          <w:rFonts w:hint="eastAsia" w:ascii="宋体" w:hAnsi="宋体" w:cs="宋体"/>
          <w:kern w:val="0"/>
          <w:highlight w:val="none"/>
        </w:rPr>
      </w:pPr>
      <w:r>
        <w:rPr>
          <w:rFonts w:hint="eastAsia" w:ascii="宋体" w:hAnsi="宋体" w:cs="宋体"/>
          <w:kern w:val="0"/>
          <w:highlight w:val="none"/>
        </w:rPr>
        <w:t>GB/T 191  包装储运图形符号标志</w:t>
      </w:r>
    </w:p>
    <w:p w14:paraId="5F8458C1">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 xml:space="preserve">GB 2894  </w:t>
      </w:r>
      <w:r>
        <w:rPr>
          <w:rFonts w:hint="eastAsia" w:ascii="宋体" w:hAnsi="宋体" w:cs="宋体"/>
          <w:kern w:val="0"/>
          <w:highlight w:val="none"/>
        </w:rPr>
        <w:t>安全色和安全标志</w:t>
      </w:r>
    </w:p>
    <w:p w14:paraId="734DD2DB">
      <w:pPr>
        <w:widowControl/>
        <w:autoSpaceDE w:val="0"/>
        <w:autoSpaceDN w:val="0"/>
        <w:ind w:firstLine="420" w:firstLineChars="200"/>
        <w:rPr>
          <w:rFonts w:hint="eastAsia" w:ascii="宋体" w:hAnsi="宋体"/>
          <w:kern w:val="0"/>
          <w:szCs w:val="20"/>
          <w:highlight w:val="none"/>
        </w:rPr>
      </w:pPr>
      <w:r>
        <w:rPr>
          <w:rFonts w:hint="eastAsia" w:ascii="宋体" w:hAnsi="宋体" w:cs="宋体"/>
          <w:kern w:val="0"/>
          <w:highlight w:val="none"/>
        </w:rPr>
        <w:t>GB/T 3768  声学  声压法测定噪声源声功率级和声能量级  采用反射面上方包络测量面的简易法</w:t>
      </w:r>
    </w:p>
    <w:p w14:paraId="0B9F073C">
      <w:pPr>
        <w:widowControl/>
        <w:autoSpaceDE w:val="0"/>
        <w:autoSpaceDN w:val="0"/>
        <w:ind w:firstLine="420" w:firstLineChars="200"/>
        <w:rPr>
          <w:rFonts w:hint="eastAsia" w:ascii="宋体" w:hAnsi="宋体"/>
          <w:kern w:val="0"/>
          <w:szCs w:val="20"/>
          <w:highlight w:val="none"/>
        </w:rPr>
      </w:pPr>
      <w:r>
        <w:rPr>
          <w:rFonts w:hint="eastAsia" w:ascii="宋体" w:hAnsi="宋体" w:cs="宋体"/>
          <w:kern w:val="0"/>
          <w:szCs w:val="20"/>
          <w:highlight w:val="none"/>
        </w:rPr>
        <w:t>GB/T 4208  外壳防护等级（IP代码）</w:t>
      </w:r>
    </w:p>
    <w:p w14:paraId="6EE53D05">
      <w:pPr>
        <w:widowControl/>
        <w:autoSpaceDE w:val="0"/>
        <w:autoSpaceDN w:val="0"/>
        <w:ind w:firstLine="420" w:firstLineChars="200"/>
        <w:rPr>
          <w:rFonts w:hint="eastAsia" w:ascii="宋体" w:hAnsi="宋体" w:cs="宋体"/>
          <w:kern w:val="0"/>
          <w:highlight w:val="none"/>
        </w:rPr>
      </w:pPr>
      <w:r>
        <w:rPr>
          <w:rFonts w:hint="eastAsia" w:ascii="宋体" w:hAnsi="宋体" w:cs="宋体"/>
          <w:kern w:val="0"/>
          <w:highlight w:val="none"/>
        </w:rPr>
        <w:t>GB/T 5226.1  机械电气安全  机械电气设备  第1部分：通用技术条件</w:t>
      </w:r>
    </w:p>
    <w:p w14:paraId="6B62D9CE">
      <w:pPr>
        <w:pStyle w:val="2"/>
        <w:spacing w:after="0"/>
        <w:ind w:firstLine="420" w:firstLineChars="200"/>
        <w:rPr>
          <w:highlight w:val="none"/>
        </w:rPr>
      </w:pPr>
      <w:bookmarkStart w:id="27" w:name="OLE_LINK8"/>
      <w:bookmarkStart w:id="28" w:name="OLE_LINK7"/>
      <w:r>
        <w:rPr>
          <w:rFonts w:hint="eastAsia" w:ascii="宋体" w:hAnsi="宋体" w:cs="宋体"/>
          <w:kern w:val="0"/>
          <w:highlight w:val="none"/>
        </w:rPr>
        <w:t>GB/T 8196  机械安全  防护装置  固定式和活动式防护装置的设计与制造一般要求</w:t>
      </w:r>
    </w:p>
    <w:p w14:paraId="4A4AB0BE">
      <w:pPr>
        <w:widowControl/>
        <w:autoSpaceDE w:val="0"/>
        <w:autoSpaceDN w:val="0"/>
        <w:ind w:firstLine="420" w:firstLineChars="200"/>
        <w:rPr>
          <w:rFonts w:hint="eastAsia" w:ascii="宋体" w:hAnsi="宋体"/>
          <w:kern w:val="0"/>
          <w:szCs w:val="20"/>
          <w:highlight w:val="none"/>
        </w:rPr>
      </w:pPr>
      <w:r>
        <w:rPr>
          <w:rFonts w:hint="eastAsia" w:ascii="宋体" w:hAnsi="宋体"/>
          <w:kern w:val="0"/>
          <w:szCs w:val="20"/>
          <w:highlight w:val="none"/>
        </w:rPr>
        <w:t>GB/T 13306  标牌</w:t>
      </w:r>
    </w:p>
    <w:bookmarkEnd w:id="27"/>
    <w:bookmarkEnd w:id="28"/>
    <w:p w14:paraId="2E6B3B12">
      <w:pPr>
        <w:widowControl/>
        <w:autoSpaceDE w:val="0"/>
        <w:autoSpaceDN w:val="0"/>
        <w:ind w:firstLine="420" w:firstLineChars="200"/>
        <w:rPr>
          <w:rFonts w:hint="eastAsia" w:ascii="宋体" w:hAnsi="宋体" w:cs="宋体"/>
          <w:kern w:val="0"/>
          <w:highlight w:val="none"/>
        </w:rPr>
      </w:pPr>
      <w:r>
        <w:rPr>
          <w:rFonts w:hint="eastAsia" w:ascii="宋体" w:hAnsi="宋体" w:cs="宋体"/>
          <w:kern w:val="0"/>
          <w:highlight w:val="none"/>
        </w:rPr>
        <w:t>GB/T 13384  机电产品包装通用技术条件</w:t>
      </w:r>
    </w:p>
    <w:p w14:paraId="62C5F768">
      <w:pPr>
        <w:pStyle w:val="2"/>
        <w:spacing w:after="0"/>
        <w:ind w:firstLine="420" w:firstLineChars="200"/>
        <w:rPr>
          <w:rFonts w:hint="eastAsia" w:ascii="宋体" w:hAnsi="宋体" w:cs="宋体"/>
          <w:highlight w:val="none"/>
        </w:rPr>
      </w:pPr>
      <w:r>
        <w:rPr>
          <w:rFonts w:hint="eastAsia" w:ascii="宋体" w:hAnsi="宋体" w:cs="宋体"/>
          <w:highlight w:val="none"/>
        </w:rPr>
        <w:t>GB/T 14048.2  低压开关设备和控制设备  第2部分：断路器</w:t>
      </w:r>
    </w:p>
    <w:p w14:paraId="5FB130C3">
      <w:pPr>
        <w:pStyle w:val="2"/>
        <w:spacing w:after="0"/>
        <w:ind w:firstLine="420" w:firstLineChars="200"/>
        <w:rPr>
          <w:highlight w:val="none"/>
        </w:rPr>
      </w:pPr>
      <w:r>
        <w:rPr>
          <w:rFonts w:hint="eastAsia" w:ascii="宋体" w:hAnsi="宋体" w:cs="宋体"/>
          <w:highlight w:val="none"/>
        </w:rPr>
        <w:t>GB/T 14048.3  低压开关设备和控制设备  第3部分：开关、隔离器、隔离开关及熔断器组合电器</w:t>
      </w:r>
    </w:p>
    <w:p w14:paraId="2BA89CD5">
      <w:pPr>
        <w:widowControl/>
        <w:autoSpaceDE w:val="0"/>
        <w:autoSpaceDN w:val="0"/>
        <w:ind w:firstLine="420" w:firstLineChars="200"/>
        <w:rPr>
          <w:rFonts w:hint="eastAsia" w:ascii="宋体" w:hAnsi="宋体"/>
          <w:kern w:val="0"/>
          <w:szCs w:val="20"/>
          <w:highlight w:val="none"/>
        </w:rPr>
      </w:pPr>
      <w:r>
        <w:rPr>
          <w:rFonts w:hint="eastAsia" w:ascii="宋体" w:hAnsi="宋体"/>
          <w:kern w:val="0"/>
          <w:szCs w:val="20"/>
          <w:highlight w:val="none"/>
        </w:rPr>
        <w:t>GB/T 14253  轻工机械通用技术条件</w:t>
      </w:r>
    </w:p>
    <w:p w14:paraId="7E9551BF">
      <w:pPr>
        <w:widowControl/>
        <w:autoSpaceDE w:val="0"/>
        <w:autoSpaceDN w:val="0"/>
        <w:ind w:firstLine="420" w:firstLineChars="200"/>
        <w:rPr>
          <w:rFonts w:hint="eastAsia" w:ascii="宋体" w:hAnsi="宋体"/>
          <w:kern w:val="0"/>
          <w:szCs w:val="20"/>
          <w:highlight w:val="none"/>
        </w:rPr>
      </w:pPr>
      <w:r>
        <w:rPr>
          <w:rFonts w:hint="eastAsia" w:ascii="宋体" w:hAnsi="宋体"/>
          <w:kern w:val="0"/>
          <w:szCs w:val="20"/>
          <w:highlight w:val="none"/>
        </w:rPr>
        <w:t>GB 15179  食品机械润滑脂</w:t>
      </w:r>
    </w:p>
    <w:p w14:paraId="416DF955">
      <w:pPr>
        <w:pStyle w:val="2"/>
        <w:spacing w:after="0"/>
        <w:ind w:firstLine="420" w:firstLineChars="200"/>
        <w:rPr>
          <w:rFonts w:hint="eastAsia" w:ascii="宋体" w:hAnsi="宋体" w:cs="宋体"/>
          <w:highlight w:val="none"/>
        </w:rPr>
      </w:pPr>
      <w:r>
        <w:rPr>
          <w:rFonts w:hint="eastAsia" w:ascii="宋体" w:hAnsi="宋体" w:cs="宋体"/>
          <w:highlight w:val="none"/>
        </w:rPr>
        <w:t>GB/T 15969.2  可编程序控制器  第2部分：设备要求和测试</w:t>
      </w:r>
    </w:p>
    <w:p w14:paraId="33030FEA">
      <w:pPr>
        <w:pStyle w:val="2"/>
        <w:spacing w:after="0"/>
        <w:ind w:firstLine="420" w:firstLineChars="200"/>
        <w:rPr>
          <w:highlight w:val="none"/>
        </w:rPr>
      </w:pPr>
      <w:r>
        <w:rPr>
          <w:rFonts w:hint="eastAsia" w:ascii="宋体" w:hAnsi="宋体" w:cs="宋体"/>
          <w:highlight w:val="none"/>
        </w:rPr>
        <w:t>GB/T 15969.5  可编程序控制器  第5部分：通信</w:t>
      </w:r>
    </w:p>
    <w:p w14:paraId="17865C47">
      <w:pPr>
        <w:widowControl/>
        <w:autoSpaceDE w:val="0"/>
        <w:autoSpaceDN w:val="0"/>
        <w:ind w:firstLine="420" w:firstLineChars="200"/>
        <w:rPr>
          <w:rFonts w:hint="eastAsia" w:ascii="宋体" w:hAnsi="宋体"/>
          <w:kern w:val="0"/>
          <w:szCs w:val="20"/>
          <w:highlight w:val="none"/>
        </w:rPr>
      </w:pPr>
      <w:r>
        <w:rPr>
          <w:rFonts w:hint="eastAsia" w:ascii="宋体" w:hAnsi="宋体"/>
          <w:kern w:val="0"/>
          <w:szCs w:val="20"/>
          <w:highlight w:val="none"/>
        </w:rPr>
        <w:t>GB 16798  食品机械安全要求</w:t>
      </w:r>
    </w:p>
    <w:p w14:paraId="188EC239">
      <w:pPr>
        <w:pStyle w:val="2"/>
        <w:spacing w:after="0"/>
        <w:ind w:firstLine="420" w:firstLineChars="200"/>
        <w:rPr>
          <w:rFonts w:hint="eastAsia" w:ascii="宋体" w:hAnsi="宋体" w:cs="宋体"/>
          <w:kern w:val="0"/>
          <w:szCs w:val="20"/>
          <w:highlight w:val="none"/>
        </w:rPr>
      </w:pPr>
      <w:r>
        <w:rPr>
          <w:rFonts w:hint="eastAsia" w:ascii="宋体" w:hAnsi="宋体" w:cs="宋体"/>
          <w:kern w:val="0"/>
          <w:szCs w:val="20"/>
          <w:highlight w:val="none"/>
        </w:rPr>
        <w:t>GB/T 30093  自动化控制系统可靠性技术评审程序</w:t>
      </w:r>
    </w:p>
    <w:p w14:paraId="37BDC18D">
      <w:pPr>
        <w:pStyle w:val="2"/>
        <w:spacing w:after="0"/>
        <w:ind w:firstLine="420" w:firstLineChars="200"/>
        <w:rPr>
          <w:highlight w:val="none"/>
        </w:rPr>
      </w:pPr>
      <w:r>
        <w:rPr>
          <w:rFonts w:hint="eastAsia" w:ascii="宋体" w:hAnsi="宋体" w:cs="宋体"/>
          <w:highlight w:val="none"/>
        </w:rPr>
        <w:t>GB/T 45406  网络关键设备安全技术要求  可编程逻辑控制器（PLC）</w:t>
      </w:r>
    </w:p>
    <w:p w14:paraId="05B70496">
      <w:pPr>
        <w:widowControl/>
        <w:autoSpaceDE w:val="0"/>
        <w:autoSpaceDN w:val="0"/>
        <w:ind w:firstLine="420" w:firstLineChars="200"/>
        <w:rPr>
          <w:rFonts w:ascii="宋体"/>
          <w:kern w:val="0"/>
          <w:szCs w:val="22"/>
          <w:highlight w:val="none"/>
        </w:rPr>
      </w:pPr>
      <w:r>
        <w:rPr>
          <w:rFonts w:hint="eastAsia" w:ascii="宋体" w:hAnsi="宋体" w:cs="宋体"/>
          <w:kern w:val="0"/>
          <w:szCs w:val="22"/>
          <w:highlight w:val="none"/>
        </w:rPr>
        <w:t>SB/T 223  食品机械通用技术条件  机械加工技术要求</w:t>
      </w:r>
    </w:p>
    <w:p w14:paraId="5937911C">
      <w:pPr>
        <w:ind w:firstLine="420" w:firstLineChars="200"/>
        <w:rPr>
          <w:rFonts w:ascii="宋体"/>
          <w:kern w:val="0"/>
          <w:szCs w:val="22"/>
          <w:highlight w:val="none"/>
        </w:rPr>
      </w:pPr>
      <w:r>
        <w:rPr>
          <w:rFonts w:ascii="宋体"/>
          <w:kern w:val="0"/>
          <w:szCs w:val="22"/>
          <w:highlight w:val="none"/>
        </w:rPr>
        <w:t>SB/T 224  食品机械通用技术条件  装配技术要求</w:t>
      </w:r>
    </w:p>
    <w:p w14:paraId="43C6B5DD">
      <w:pPr>
        <w:ind w:firstLine="420" w:firstLineChars="200"/>
        <w:rPr>
          <w:rFonts w:ascii="宋体"/>
          <w:kern w:val="0"/>
          <w:szCs w:val="22"/>
          <w:highlight w:val="none"/>
        </w:rPr>
      </w:pPr>
      <w:r>
        <w:rPr>
          <w:rFonts w:hint="eastAsia" w:ascii="宋体" w:hAnsi="宋体" w:cs="宋体"/>
          <w:kern w:val="0"/>
          <w:highlight w:val="none"/>
        </w:rPr>
        <w:t>SB/T 225  食品机械通用技术条件  铸件技术要求</w:t>
      </w:r>
    </w:p>
    <w:p w14:paraId="393BBF32">
      <w:pPr>
        <w:ind w:firstLine="420" w:firstLineChars="200"/>
        <w:rPr>
          <w:rFonts w:ascii="宋体"/>
          <w:kern w:val="0"/>
          <w:szCs w:val="22"/>
          <w:highlight w:val="none"/>
        </w:rPr>
      </w:pPr>
      <w:r>
        <w:rPr>
          <w:rFonts w:ascii="宋体"/>
          <w:kern w:val="0"/>
          <w:szCs w:val="22"/>
          <w:highlight w:val="none"/>
        </w:rPr>
        <w:t>SB/T 226  食品机械通用技术条件  焊接</w:t>
      </w:r>
      <w:r>
        <w:rPr>
          <w:rFonts w:hint="eastAsia" w:ascii="宋体"/>
          <w:kern w:val="0"/>
          <w:szCs w:val="22"/>
          <w:highlight w:val="none"/>
        </w:rPr>
        <w:t>、</w:t>
      </w:r>
      <w:r>
        <w:rPr>
          <w:rFonts w:ascii="宋体"/>
          <w:kern w:val="0"/>
          <w:szCs w:val="22"/>
          <w:highlight w:val="none"/>
        </w:rPr>
        <w:t>铆接技术要求</w:t>
      </w:r>
    </w:p>
    <w:p w14:paraId="4422A7D2">
      <w:pPr>
        <w:ind w:firstLine="420" w:firstLineChars="200"/>
        <w:rPr>
          <w:rFonts w:ascii="宋体"/>
          <w:kern w:val="0"/>
          <w:szCs w:val="22"/>
          <w:highlight w:val="none"/>
        </w:rPr>
      </w:pPr>
      <w:r>
        <w:rPr>
          <w:rFonts w:ascii="宋体"/>
          <w:kern w:val="0"/>
          <w:szCs w:val="22"/>
          <w:highlight w:val="none"/>
        </w:rPr>
        <w:t xml:space="preserve">SB/T 227  食品机械通用技术条件  </w:t>
      </w:r>
      <w:r>
        <w:rPr>
          <w:rFonts w:hint="eastAsia" w:ascii="宋体"/>
          <w:kern w:val="0"/>
          <w:szCs w:val="22"/>
          <w:highlight w:val="none"/>
        </w:rPr>
        <w:t>电器装置</w:t>
      </w:r>
      <w:r>
        <w:rPr>
          <w:rFonts w:ascii="宋体"/>
          <w:kern w:val="0"/>
          <w:szCs w:val="22"/>
          <w:highlight w:val="none"/>
        </w:rPr>
        <w:t>技术要求</w:t>
      </w:r>
    </w:p>
    <w:p w14:paraId="008D0826">
      <w:pPr>
        <w:pStyle w:val="2"/>
        <w:spacing w:after="0"/>
        <w:ind w:firstLine="420" w:firstLineChars="200"/>
        <w:rPr>
          <w:rFonts w:ascii="宋体"/>
          <w:kern w:val="0"/>
          <w:szCs w:val="22"/>
          <w:highlight w:val="none"/>
        </w:rPr>
      </w:pPr>
      <w:r>
        <w:rPr>
          <w:rFonts w:hint="eastAsia" w:ascii="宋体" w:hAnsi="宋体" w:cs="宋体"/>
          <w:kern w:val="0"/>
          <w:highlight w:val="none"/>
        </w:rPr>
        <w:t>SB/T 228  食品机械通用技术条件  表面涂漆</w:t>
      </w:r>
    </w:p>
    <w:p w14:paraId="3D7E39A6">
      <w:pPr>
        <w:widowControl/>
        <w:autoSpaceDE w:val="0"/>
        <w:autoSpaceDN w:val="0"/>
        <w:ind w:firstLine="420" w:firstLineChars="200"/>
        <w:rPr>
          <w:rFonts w:hint="eastAsia" w:ascii="宋体" w:hAnsi="宋体" w:cs="宋体"/>
          <w:kern w:val="0"/>
          <w:szCs w:val="22"/>
          <w:highlight w:val="none"/>
        </w:rPr>
      </w:pPr>
      <w:r>
        <w:rPr>
          <w:rFonts w:hint="eastAsia" w:ascii="宋体" w:hAnsi="宋体" w:cs="宋体"/>
          <w:kern w:val="0"/>
          <w:szCs w:val="22"/>
          <w:highlight w:val="none"/>
        </w:rPr>
        <w:t>SB/T 229  食品机械通用技术条件  产品包装技术要求</w:t>
      </w:r>
    </w:p>
    <w:p w14:paraId="2E7676B7">
      <w:pPr>
        <w:pStyle w:val="173"/>
        <w:numPr>
          <w:ilvl w:val="1"/>
          <w:numId w:val="18"/>
        </w:numPr>
        <w:spacing w:line="240" w:lineRule="auto"/>
        <w:jc w:val="both"/>
        <w:rPr>
          <w:highlight w:val="none"/>
        </w:rPr>
      </w:pPr>
      <w:bookmarkStart w:id="29" w:name="_Toc12886"/>
      <w:r>
        <w:rPr>
          <w:rFonts w:hint="eastAsia"/>
          <w:highlight w:val="none"/>
        </w:rPr>
        <w:t>术语和定义</w:t>
      </w:r>
      <w:bookmarkEnd w:id="29"/>
    </w:p>
    <w:p w14:paraId="11B50E85">
      <w:pPr>
        <w:pStyle w:val="28"/>
        <w:rPr>
          <w:highlight w:val="none"/>
        </w:rPr>
      </w:pPr>
      <w:r>
        <w:rPr>
          <w:rFonts w:hint="eastAsia"/>
          <w:highlight w:val="none"/>
        </w:rPr>
        <w:t>下列术语和定义适用于本文件。</w:t>
      </w:r>
    </w:p>
    <w:p w14:paraId="69FAB518">
      <w:pPr>
        <w:widowControl/>
        <w:numPr>
          <w:ilvl w:val="2"/>
          <w:numId w:val="18"/>
        </w:numPr>
        <w:spacing w:before="156" w:beforeLines="50" w:after="156" w:afterLines="50"/>
        <w:outlineLvl w:val="1"/>
        <w:rPr>
          <w:rFonts w:ascii="黑体" w:eastAsia="黑体"/>
          <w:kern w:val="0"/>
          <w:szCs w:val="21"/>
          <w:highlight w:val="none"/>
        </w:rPr>
      </w:pPr>
      <w:bookmarkStart w:id="30" w:name="_Toc19745"/>
      <w:bookmarkEnd w:id="30"/>
      <w:bookmarkStart w:id="31" w:name="_Toc4797"/>
      <w:bookmarkEnd w:id="31"/>
      <w:bookmarkStart w:id="32" w:name="_Toc234307537"/>
      <w:bookmarkEnd w:id="32"/>
      <w:bookmarkStart w:id="33" w:name="_Toc196241115"/>
      <w:bookmarkEnd w:id="33"/>
      <w:bookmarkStart w:id="34" w:name="_Toc186914309"/>
      <w:bookmarkEnd w:id="34"/>
      <w:bookmarkStart w:id="35" w:name="OLE_LINK3"/>
    </w:p>
    <w:bookmarkEnd w:id="35"/>
    <w:p w14:paraId="52023D13">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 xml:space="preserve">上粉机  </w:t>
      </w:r>
      <w:r>
        <w:rPr>
          <w:rFonts w:ascii="黑体" w:hAnsi="黑体" w:eastAsia="黑体"/>
          <w:bCs/>
          <w:iCs/>
          <w:kern w:val="0"/>
          <w:szCs w:val="20"/>
          <w:highlight w:val="none"/>
        </w:rPr>
        <w:t>flouring machine</w:t>
      </w:r>
    </w:p>
    <w:p w14:paraId="3AEDD633">
      <w:pPr>
        <w:pStyle w:val="28"/>
        <w:rPr>
          <w:rFonts w:hint="eastAsia" w:hAnsi="宋体"/>
          <w:szCs w:val="21"/>
          <w:highlight w:val="none"/>
          <w:shd w:val="clear" w:color="auto" w:fill="FFFFFF"/>
        </w:rPr>
      </w:pPr>
      <w:r>
        <w:rPr>
          <w:szCs w:val="21"/>
          <w:highlight w:val="none"/>
        </w:rPr>
        <w:t>用于肉类、水产类</w:t>
      </w:r>
      <w:r>
        <w:rPr>
          <w:rFonts w:hint="eastAsia"/>
          <w:szCs w:val="21"/>
          <w:highlight w:val="none"/>
        </w:rPr>
        <w:t>和</w:t>
      </w:r>
      <w:r>
        <w:rPr>
          <w:szCs w:val="21"/>
          <w:highlight w:val="none"/>
        </w:rPr>
        <w:t>果蔬类等食品涂裹上粉的机器</w:t>
      </w:r>
      <w:r>
        <w:rPr>
          <w:rFonts w:hint="eastAsia" w:hAnsi="宋体"/>
          <w:szCs w:val="21"/>
          <w:highlight w:val="none"/>
          <w:shd w:val="clear" w:color="auto" w:fill="FFFFFF"/>
        </w:rPr>
        <w:t>。</w:t>
      </w:r>
      <w:bookmarkStart w:id="36" w:name="_Toc186914313"/>
      <w:bookmarkEnd w:id="36"/>
      <w:bookmarkStart w:id="37" w:name="_Toc186914312"/>
      <w:bookmarkEnd w:id="37"/>
      <w:bookmarkStart w:id="38" w:name="_Toc186914319"/>
      <w:bookmarkEnd w:id="38"/>
      <w:bookmarkStart w:id="39" w:name="_Toc186914317"/>
      <w:bookmarkEnd w:id="39"/>
      <w:bookmarkStart w:id="40" w:name="_Toc186914315"/>
      <w:bookmarkEnd w:id="40"/>
    </w:p>
    <w:p w14:paraId="513F2344">
      <w:pPr>
        <w:widowControl/>
        <w:numPr>
          <w:ilvl w:val="2"/>
          <w:numId w:val="18"/>
        </w:numPr>
        <w:spacing w:before="156" w:beforeLines="50" w:after="156" w:afterLines="50"/>
        <w:outlineLvl w:val="1"/>
        <w:rPr>
          <w:rFonts w:hint="eastAsia" w:hAnsi="宋体"/>
          <w:szCs w:val="21"/>
          <w:highlight w:val="none"/>
          <w:shd w:val="clear" w:color="auto" w:fill="FFFFFF"/>
        </w:rPr>
      </w:pPr>
      <w:bookmarkStart w:id="41" w:name="_Toc9505"/>
      <w:bookmarkEnd w:id="41"/>
      <w:bookmarkStart w:id="42" w:name="_Toc28079"/>
      <w:bookmarkEnd w:id="42"/>
    </w:p>
    <w:p w14:paraId="7E38BF24">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生产能力  production capacity</w:t>
      </w:r>
    </w:p>
    <w:p w14:paraId="6209C74E">
      <w:pPr>
        <w:pStyle w:val="28"/>
        <w:rPr>
          <w:color w:val="0000FF"/>
          <w:szCs w:val="21"/>
          <w:highlight w:val="none"/>
        </w:rPr>
      </w:pPr>
      <w:r>
        <w:rPr>
          <w:rFonts w:hint="eastAsia"/>
          <w:szCs w:val="21"/>
          <w:highlight w:val="none"/>
        </w:rPr>
        <w:t>在单位时间内，上粉机完成上粉作业的成品质量。</w:t>
      </w:r>
    </w:p>
    <w:p w14:paraId="2C2FE5A9">
      <w:pPr>
        <w:widowControl/>
        <w:numPr>
          <w:ilvl w:val="2"/>
          <w:numId w:val="18"/>
        </w:numPr>
        <w:spacing w:before="156" w:beforeLines="50" w:after="156" w:afterLines="50"/>
        <w:outlineLvl w:val="1"/>
        <w:rPr>
          <w:rFonts w:hint="eastAsia" w:hAnsi="宋体"/>
          <w:szCs w:val="21"/>
          <w:highlight w:val="none"/>
          <w:shd w:val="clear" w:color="auto" w:fill="FFFFFF"/>
        </w:rPr>
      </w:pPr>
      <w:bookmarkStart w:id="43" w:name="_Toc6997"/>
      <w:bookmarkEnd w:id="43"/>
      <w:bookmarkStart w:id="44" w:name="_Toc9901"/>
      <w:bookmarkEnd w:id="44"/>
    </w:p>
    <w:p w14:paraId="448A5491">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上粉质量  flouring quality</w:t>
      </w:r>
    </w:p>
    <w:p w14:paraId="09DB2628">
      <w:pPr>
        <w:pStyle w:val="28"/>
        <w:rPr>
          <w:szCs w:val="21"/>
          <w:highlight w:val="none"/>
        </w:rPr>
      </w:pPr>
      <w:r>
        <w:rPr>
          <w:rFonts w:hint="eastAsia"/>
          <w:szCs w:val="21"/>
          <w:highlight w:val="none"/>
        </w:rPr>
        <w:t>单位时间内，上粉机完成上粉作业后，获得满足规定特征和特性的成品的情况。</w:t>
      </w:r>
    </w:p>
    <w:p w14:paraId="37537A17">
      <w:pPr>
        <w:widowControl/>
        <w:numPr>
          <w:ilvl w:val="2"/>
          <w:numId w:val="18"/>
        </w:numPr>
        <w:spacing w:before="156" w:beforeLines="50" w:after="156" w:afterLines="50"/>
        <w:outlineLvl w:val="1"/>
        <w:rPr>
          <w:szCs w:val="21"/>
          <w:highlight w:val="none"/>
        </w:rPr>
      </w:pPr>
      <w:bookmarkStart w:id="45" w:name="_Toc15696"/>
      <w:bookmarkEnd w:id="45"/>
    </w:p>
    <w:p w14:paraId="187F889E">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上粉率  flour coating rate</w:t>
      </w:r>
    </w:p>
    <w:p w14:paraId="6FA8DB14">
      <w:pPr>
        <w:pStyle w:val="28"/>
        <w:rPr>
          <w:szCs w:val="21"/>
          <w:highlight w:val="none"/>
        </w:rPr>
      </w:pPr>
      <w:r>
        <w:rPr>
          <w:rFonts w:hint="eastAsia"/>
          <w:szCs w:val="21"/>
          <w:highlight w:val="none"/>
        </w:rPr>
        <w:t>物料裹涂的粉料质量与上粉前物料质量的百分比。</w:t>
      </w:r>
    </w:p>
    <w:p w14:paraId="3BE98B9F">
      <w:pPr>
        <w:widowControl/>
        <w:numPr>
          <w:ilvl w:val="2"/>
          <w:numId w:val="18"/>
        </w:numPr>
        <w:spacing w:before="156" w:beforeLines="50" w:after="156" w:afterLines="50"/>
        <w:outlineLvl w:val="1"/>
        <w:rPr>
          <w:rFonts w:hint="eastAsia" w:ascii="黑体" w:hAnsi="黑体" w:eastAsia="黑体"/>
          <w:szCs w:val="21"/>
          <w:highlight w:val="none"/>
        </w:rPr>
      </w:pPr>
      <w:bookmarkStart w:id="46" w:name="_Toc186914321"/>
      <w:bookmarkEnd w:id="46"/>
      <w:bookmarkStart w:id="47" w:name="_Toc9442"/>
      <w:bookmarkEnd w:id="47"/>
      <w:bookmarkStart w:id="48" w:name="_Toc186914320"/>
      <w:bookmarkEnd w:id="48"/>
      <w:bookmarkStart w:id="49" w:name="_Toc186914322"/>
      <w:bookmarkEnd w:id="49"/>
      <w:bookmarkStart w:id="50" w:name="_Toc186914323"/>
      <w:bookmarkEnd w:id="50"/>
      <w:bookmarkStart w:id="51" w:name="_Toc234307538"/>
      <w:bookmarkEnd w:id="51"/>
      <w:bookmarkStart w:id="52" w:name="_Toc196241116"/>
      <w:bookmarkEnd w:id="52"/>
      <w:bookmarkStart w:id="53" w:name="_Toc16320"/>
      <w:bookmarkEnd w:id="53"/>
    </w:p>
    <w:p w14:paraId="099E2842">
      <w:pPr>
        <w:widowControl/>
        <w:tabs>
          <w:tab w:val="center" w:pos="4887"/>
        </w:tabs>
        <w:autoSpaceDE w:val="0"/>
        <w:autoSpaceDN w:val="0"/>
        <w:ind w:firstLine="420" w:firstLineChars="200"/>
        <w:rPr>
          <w:rFonts w:hint="eastAsia" w:ascii="黑体" w:hAnsi="黑体" w:eastAsia="黑体"/>
          <w:bCs/>
          <w:iCs/>
          <w:kern w:val="0"/>
          <w:szCs w:val="20"/>
          <w:highlight w:val="none"/>
        </w:rPr>
      </w:pPr>
      <w:bookmarkStart w:id="54" w:name="_Toc234307545"/>
      <w:bookmarkEnd w:id="54"/>
      <w:r>
        <w:rPr>
          <w:rFonts w:hint="eastAsia" w:ascii="黑体" w:hAnsi="黑体" w:eastAsia="黑体"/>
          <w:bCs/>
          <w:iCs/>
          <w:kern w:val="0"/>
          <w:szCs w:val="20"/>
          <w:highlight w:val="none"/>
        </w:rPr>
        <w:t>网带宽度  belt width</w:t>
      </w:r>
      <w:r>
        <w:rPr>
          <w:rFonts w:ascii="黑体" w:hAnsi="黑体" w:eastAsia="黑体"/>
          <w:bCs/>
          <w:iCs/>
          <w:kern w:val="0"/>
          <w:szCs w:val="20"/>
          <w:highlight w:val="none"/>
        </w:rPr>
        <w:tab/>
      </w:r>
    </w:p>
    <w:p w14:paraId="137B291F">
      <w:pPr>
        <w:pStyle w:val="28"/>
        <w:rPr>
          <w:szCs w:val="21"/>
          <w:highlight w:val="none"/>
        </w:rPr>
      </w:pPr>
      <w:bookmarkStart w:id="55" w:name="_Toc196323845"/>
      <w:bookmarkEnd w:id="55"/>
      <w:r>
        <w:rPr>
          <w:rFonts w:hint="eastAsia"/>
          <w:szCs w:val="21"/>
          <w:highlight w:val="none"/>
        </w:rPr>
        <w:t>主输送网带的最大宽度。</w:t>
      </w:r>
      <w:bookmarkStart w:id="56" w:name="_Toc196323845_ai"/>
      <w:bookmarkEnd w:id="56"/>
    </w:p>
    <w:p w14:paraId="76E54620">
      <w:pPr>
        <w:widowControl/>
        <w:numPr>
          <w:ilvl w:val="2"/>
          <w:numId w:val="18"/>
        </w:numPr>
        <w:spacing w:before="156" w:beforeLines="50" w:after="156" w:afterLines="50"/>
        <w:outlineLvl w:val="1"/>
        <w:rPr>
          <w:rFonts w:hint="eastAsia" w:ascii="宋体" w:hAnsi="宋体" w:cs="宋体"/>
          <w:sz w:val="24"/>
          <w:highlight w:val="none"/>
        </w:rPr>
      </w:pPr>
      <w:bookmarkStart w:id="57" w:name="_Toc9963"/>
      <w:bookmarkEnd w:id="57"/>
      <w:bookmarkStart w:id="58" w:name="_Toc23768"/>
      <w:bookmarkEnd w:id="58"/>
      <w:bookmarkStart w:id="59" w:name="_Toc27836"/>
      <w:bookmarkEnd w:id="59"/>
    </w:p>
    <w:p w14:paraId="54C03ED9">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输送速度  convey speed</w:t>
      </w:r>
    </w:p>
    <w:p w14:paraId="6E37E32C">
      <w:pPr>
        <w:pStyle w:val="28"/>
        <w:rPr>
          <w:szCs w:val="21"/>
          <w:highlight w:val="none"/>
        </w:rPr>
      </w:pPr>
      <w:bookmarkStart w:id="60" w:name="_Toc196323846"/>
      <w:bookmarkEnd w:id="60"/>
      <w:r>
        <w:rPr>
          <w:rFonts w:hint="eastAsia"/>
          <w:szCs w:val="21"/>
          <w:highlight w:val="none"/>
        </w:rPr>
        <w:t>主输送网带的线速度。</w:t>
      </w:r>
      <w:bookmarkStart w:id="61" w:name="_Toc186914321_ai"/>
      <w:bookmarkEnd w:id="61"/>
      <w:bookmarkStart w:id="62" w:name="_Toc196323846_ai"/>
      <w:bookmarkEnd w:id="62"/>
    </w:p>
    <w:p w14:paraId="7112EEBD">
      <w:pPr>
        <w:widowControl/>
        <w:numPr>
          <w:ilvl w:val="2"/>
          <w:numId w:val="18"/>
        </w:numPr>
        <w:spacing w:before="156" w:beforeLines="50" w:after="156" w:afterLines="50"/>
        <w:outlineLvl w:val="1"/>
        <w:rPr>
          <w:rFonts w:hint="eastAsia" w:ascii="宋体" w:hAnsi="宋体" w:cs="宋体"/>
          <w:sz w:val="24"/>
          <w:highlight w:val="none"/>
        </w:rPr>
      </w:pPr>
      <w:bookmarkStart w:id="63" w:name="_Toc25015"/>
      <w:bookmarkEnd w:id="63"/>
      <w:bookmarkStart w:id="64" w:name="_Toc29184"/>
      <w:bookmarkEnd w:id="64"/>
      <w:bookmarkStart w:id="65" w:name="_Toc560"/>
      <w:bookmarkEnd w:id="65"/>
    </w:p>
    <w:p w14:paraId="7E5DCE41">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输入、输出高度  input and output height</w:t>
      </w:r>
    </w:p>
    <w:p w14:paraId="6FBE8EB8">
      <w:pPr>
        <w:pStyle w:val="28"/>
        <w:rPr>
          <w:szCs w:val="21"/>
          <w:highlight w:val="none"/>
        </w:rPr>
      </w:pPr>
      <w:bookmarkStart w:id="66" w:name="_Toc196323847"/>
      <w:r>
        <w:rPr>
          <w:rFonts w:hint="eastAsia" w:ascii="黑体" w:hAnsi="黑体" w:eastAsia="黑体"/>
          <w:szCs w:val="21"/>
          <w:highlight w:val="none"/>
        </w:rPr>
        <w:t>上粉机（3.1）</w:t>
      </w:r>
      <w:r>
        <w:rPr>
          <w:rFonts w:hint="eastAsia"/>
          <w:szCs w:val="21"/>
          <w:highlight w:val="none"/>
        </w:rPr>
        <w:t>输入网带</w:t>
      </w:r>
      <w:r>
        <w:rPr>
          <w:rFonts w:hint="eastAsia" w:hAnsi="宋体"/>
          <w:highlight w:val="none"/>
        </w:rPr>
        <w:t>上表面（工作面）</w:t>
      </w:r>
      <w:r>
        <w:rPr>
          <w:rFonts w:hint="eastAsia"/>
          <w:szCs w:val="21"/>
          <w:highlight w:val="none"/>
        </w:rPr>
        <w:t>及输出网带</w:t>
      </w:r>
      <w:r>
        <w:rPr>
          <w:rFonts w:hint="eastAsia" w:hAnsi="宋体"/>
          <w:highlight w:val="none"/>
        </w:rPr>
        <w:t>上表面（工作面）</w:t>
      </w:r>
      <w:r>
        <w:rPr>
          <w:rFonts w:hint="eastAsia"/>
          <w:szCs w:val="21"/>
          <w:highlight w:val="none"/>
        </w:rPr>
        <w:t>距地面的高度。</w:t>
      </w:r>
    </w:p>
    <w:bookmarkEnd w:id="66"/>
    <w:p w14:paraId="7C761377">
      <w:pPr>
        <w:widowControl/>
        <w:numPr>
          <w:ilvl w:val="2"/>
          <w:numId w:val="18"/>
        </w:numPr>
        <w:spacing w:before="156" w:beforeLines="50" w:after="156" w:afterLines="50"/>
        <w:outlineLvl w:val="1"/>
        <w:rPr>
          <w:rFonts w:hint="eastAsia" w:ascii="宋体" w:hAnsi="宋体" w:cs="宋体"/>
          <w:sz w:val="24"/>
          <w:highlight w:val="none"/>
        </w:rPr>
      </w:pPr>
      <w:bookmarkStart w:id="67" w:name="_Toc21495"/>
      <w:bookmarkEnd w:id="67"/>
      <w:bookmarkStart w:id="68" w:name="_Toc8233"/>
      <w:bookmarkEnd w:id="68"/>
    </w:p>
    <w:p w14:paraId="58D5A85A">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物料高度  material height</w:t>
      </w:r>
    </w:p>
    <w:p w14:paraId="17A862BC">
      <w:pPr>
        <w:pStyle w:val="28"/>
        <w:rPr>
          <w:szCs w:val="21"/>
          <w:highlight w:val="none"/>
        </w:rPr>
      </w:pPr>
      <w:bookmarkStart w:id="69" w:name="_Toc196323848"/>
      <w:r>
        <w:rPr>
          <w:rFonts w:hint="eastAsia"/>
          <w:szCs w:val="21"/>
          <w:highlight w:val="none"/>
        </w:rPr>
        <w:t>物料进口、出口通道内所有可调节机构调整到上极限位置时能够通过物料的最大高度。</w:t>
      </w:r>
    </w:p>
    <w:bookmarkEnd w:id="69"/>
    <w:p w14:paraId="31E07833">
      <w:pPr>
        <w:widowControl/>
        <w:numPr>
          <w:ilvl w:val="2"/>
          <w:numId w:val="18"/>
        </w:numPr>
        <w:spacing w:before="156" w:beforeLines="50" w:after="156" w:afterLines="50"/>
        <w:outlineLvl w:val="1"/>
        <w:rPr>
          <w:rFonts w:hint="eastAsia" w:ascii="宋体" w:hAnsi="宋体" w:cs="宋体"/>
          <w:sz w:val="24"/>
          <w:highlight w:val="none"/>
        </w:rPr>
      </w:pPr>
      <w:bookmarkStart w:id="70" w:name="_Toc23759"/>
      <w:bookmarkEnd w:id="70"/>
      <w:bookmarkStart w:id="71" w:name="_Toc29696"/>
      <w:bookmarkEnd w:id="71"/>
    </w:p>
    <w:p w14:paraId="0B701552">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平板式上粉机  flat flouring machine</w:t>
      </w:r>
    </w:p>
    <w:p w14:paraId="65EEA7A1">
      <w:pPr>
        <w:pStyle w:val="28"/>
        <w:rPr>
          <w:szCs w:val="21"/>
          <w:highlight w:val="none"/>
        </w:rPr>
      </w:pPr>
      <w:bookmarkStart w:id="72" w:name="OLE_LINK4"/>
      <w:bookmarkStart w:id="73" w:name="_Toc196323849"/>
      <w:r>
        <w:rPr>
          <w:rFonts w:hint="eastAsia"/>
          <w:szCs w:val="21"/>
          <w:highlight w:val="none"/>
        </w:rPr>
        <w:t>物料送入预先铺满粉料的输送网带，其底部自动粘粉，同时顶部储料仓通过振动撒粉机构从上方均匀落粉，完全覆盖在物料上表面，实现物料均匀裹粉的</w:t>
      </w:r>
      <w:r>
        <w:rPr>
          <w:rFonts w:hint="eastAsia" w:ascii="黑体" w:hAnsi="黑体" w:eastAsia="黑体"/>
          <w:szCs w:val="21"/>
          <w:highlight w:val="none"/>
        </w:rPr>
        <w:t>上粉机</w:t>
      </w:r>
      <w:bookmarkEnd w:id="72"/>
      <w:r>
        <w:rPr>
          <w:rFonts w:hint="eastAsia" w:ascii="黑体" w:hAnsi="黑体" w:eastAsia="黑体"/>
          <w:szCs w:val="21"/>
          <w:highlight w:val="none"/>
        </w:rPr>
        <w:t>（3.1）</w:t>
      </w:r>
      <w:r>
        <w:rPr>
          <w:rFonts w:hint="eastAsia"/>
          <w:szCs w:val="21"/>
          <w:highlight w:val="none"/>
        </w:rPr>
        <w:t>。</w:t>
      </w:r>
    </w:p>
    <w:bookmarkEnd w:id="73"/>
    <w:p w14:paraId="0FA1B836">
      <w:pPr>
        <w:widowControl/>
        <w:numPr>
          <w:ilvl w:val="2"/>
          <w:numId w:val="18"/>
        </w:numPr>
        <w:spacing w:before="156" w:beforeLines="50" w:after="156" w:afterLines="50"/>
        <w:outlineLvl w:val="1"/>
        <w:rPr>
          <w:rFonts w:hint="eastAsia" w:ascii="宋体" w:hAnsi="宋体" w:cs="宋体"/>
          <w:sz w:val="24"/>
          <w:highlight w:val="none"/>
        </w:rPr>
      </w:pPr>
      <w:bookmarkStart w:id="74" w:name="_Toc3304"/>
      <w:bookmarkEnd w:id="74"/>
      <w:bookmarkStart w:id="75" w:name="_Toc10235"/>
      <w:bookmarkEnd w:id="75"/>
    </w:p>
    <w:p w14:paraId="4A24B899">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滚筒式上粉机   drum flouring machine</w:t>
      </w:r>
    </w:p>
    <w:p w14:paraId="7DCA9C45">
      <w:pPr>
        <w:pStyle w:val="28"/>
        <w:rPr>
          <w:szCs w:val="21"/>
          <w:highlight w:val="none"/>
        </w:rPr>
      </w:pPr>
      <w:bookmarkStart w:id="76" w:name="_Toc196323850"/>
      <w:r>
        <w:rPr>
          <w:rFonts w:hint="eastAsia"/>
          <w:szCs w:val="21"/>
          <w:highlight w:val="none"/>
        </w:rPr>
        <w:t>通过滚筒带动物料与粉料在筒内翻滚、碰撞和混合，使粉料均匀涂裹在物料表面的</w:t>
      </w:r>
      <w:r>
        <w:rPr>
          <w:rFonts w:hint="eastAsia" w:ascii="黑体" w:hAnsi="黑体" w:eastAsia="黑体"/>
          <w:szCs w:val="21"/>
          <w:highlight w:val="none"/>
        </w:rPr>
        <w:t>上粉机（3.1）</w:t>
      </w:r>
      <w:r>
        <w:rPr>
          <w:rFonts w:hint="eastAsia"/>
          <w:szCs w:val="21"/>
          <w:highlight w:val="none"/>
        </w:rPr>
        <w:t>。</w:t>
      </w:r>
    </w:p>
    <w:bookmarkEnd w:id="76"/>
    <w:p w14:paraId="60DA0956">
      <w:pPr>
        <w:widowControl/>
        <w:numPr>
          <w:ilvl w:val="2"/>
          <w:numId w:val="18"/>
        </w:numPr>
        <w:spacing w:before="156" w:beforeLines="50" w:after="156" w:afterLines="50"/>
        <w:outlineLvl w:val="1"/>
        <w:rPr>
          <w:rFonts w:hint="eastAsia" w:hAnsi="宋体"/>
          <w:szCs w:val="21"/>
          <w:highlight w:val="none"/>
          <w:shd w:val="clear" w:color="auto" w:fill="FFFFFF"/>
        </w:rPr>
      </w:pPr>
      <w:bookmarkStart w:id="77" w:name="_Toc3369"/>
      <w:bookmarkEnd w:id="77"/>
      <w:bookmarkStart w:id="78" w:name="_Toc24121"/>
      <w:bookmarkEnd w:id="78"/>
    </w:p>
    <w:p w14:paraId="27A51544">
      <w:pPr>
        <w:widowControl/>
        <w:autoSpaceDE w:val="0"/>
        <w:autoSpaceDN w:val="0"/>
        <w:ind w:firstLine="420" w:firstLineChars="200"/>
        <w:rPr>
          <w:rFonts w:hint="eastAsia" w:ascii="黑体" w:hAnsi="黑体" w:eastAsia="黑体"/>
          <w:bCs/>
          <w:iCs/>
          <w:kern w:val="0"/>
          <w:szCs w:val="20"/>
          <w:highlight w:val="none"/>
        </w:rPr>
      </w:pPr>
      <w:bookmarkStart w:id="79" w:name="OLE_LINK1"/>
      <w:r>
        <w:rPr>
          <w:rFonts w:hint="eastAsia" w:ascii="黑体" w:hAnsi="黑体" w:eastAsia="黑体"/>
          <w:bCs/>
          <w:iCs/>
          <w:kern w:val="0"/>
          <w:szCs w:val="20"/>
          <w:highlight w:val="none"/>
        </w:rPr>
        <w:t>制造执行系统</w:t>
      </w:r>
      <w:bookmarkEnd w:id="79"/>
      <w:r>
        <w:rPr>
          <w:rFonts w:hint="eastAsia" w:ascii="黑体" w:hAnsi="黑体" w:eastAsia="黑体"/>
          <w:bCs/>
          <w:iCs/>
          <w:kern w:val="0"/>
          <w:szCs w:val="20"/>
          <w:highlight w:val="none"/>
        </w:rPr>
        <w:t xml:space="preserve">  </w:t>
      </w:r>
      <w:r>
        <w:rPr>
          <w:rFonts w:hint="eastAsia" w:ascii="黑体" w:hAnsi="黑体" w:eastAsia="黑体"/>
          <w:bCs/>
          <w:iCs/>
          <w:kern w:val="0"/>
          <w:szCs w:val="20"/>
          <w:highlight w:val="none"/>
          <w:lang w:val="en-US" w:eastAsia="zh-CN"/>
        </w:rPr>
        <w:t>m</w:t>
      </w:r>
      <w:r>
        <w:rPr>
          <w:rFonts w:hint="eastAsia" w:ascii="黑体" w:hAnsi="黑体" w:eastAsia="黑体"/>
          <w:bCs/>
          <w:iCs/>
          <w:kern w:val="0"/>
          <w:szCs w:val="20"/>
          <w:highlight w:val="none"/>
        </w:rPr>
        <w:t>anufacturing Execution System（MES）</w:t>
      </w:r>
    </w:p>
    <w:p w14:paraId="032D9033">
      <w:pPr>
        <w:pStyle w:val="28"/>
        <w:rPr>
          <w:rFonts w:hint="eastAsia" w:hAnsi="宋体"/>
          <w:szCs w:val="21"/>
          <w:highlight w:val="none"/>
          <w:shd w:val="clear" w:color="auto" w:fill="FFFFFF"/>
        </w:rPr>
      </w:pPr>
      <w:r>
        <w:rPr>
          <w:rFonts w:hint="eastAsia" w:hAnsi="宋体"/>
          <w:szCs w:val="21"/>
          <w:highlight w:val="none"/>
          <w:shd w:val="clear" w:color="auto" w:fill="FFFFFF"/>
        </w:rPr>
        <w:t>连接上层计划管理与底层设备控制的生产信息管理系统，负责</w:t>
      </w:r>
      <w:r>
        <w:rPr>
          <w:rFonts w:hint="eastAsia" w:ascii="黑体" w:hAnsi="黑体" w:eastAsia="黑体"/>
          <w:szCs w:val="21"/>
          <w:highlight w:val="none"/>
        </w:rPr>
        <w:t>上粉机（3.1）</w:t>
      </w:r>
      <w:r>
        <w:rPr>
          <w:rFonts w:hint="eastAsia" w:hAnsi="宋体"/>
          <w:szCs w:val="21"/>
          <w:highlight w:val="none"/>
          <w:shd w:val="clear" w:color="auto" w:fill="FFFFFF"/>
        </w:rPr>
        <w:t>的生产调度、数据采集和质量管理等功能。</w:t>
      </w:r>
    </w:p>
    <w:p w14:paraId="06019460">
      <w:pPr>
        <w:widowControl/>
        <w:numPr>
          <w:ilvl w:val="2"/>
          <w:numId w:val="18"/>
        </w:numPr>
        <w:spacing w:before="156" w:beforeLines="50" w:after="156" w:afterLines="50"/>
        <w:outlineLvl w:val="1"/>
        <w:rPr>
          <w:rFonts w:hint="eastAsia" w:hAnsi="宋体"/>
          <w:szCs w:val="21"/>
          <w:highlight w:val="none"/>
          <w:shd w:val="clear" w:color="auto" w:fill="FFFFFF"/>
        </w:rPr>
      </w:pPr>
      <w:bookmarkStart w:id="80" w:name="_Toc18803"/>
      <w:bookmarkEnd w:id="80"/>
      <w:bookmarkStart w:id="81" w:name="_Toc25314"/>
      <w:bookmarkEnd w:id="81"/>
      <w:bookmarkStart w:id="82" w:name="_Toc234307546"/>
      <w:bookmarkEnd w:id="82"/>
    </w:p>
    <w:p w14:paraId="05A5E1ED">
      <w:pPr>
        <w:widowControl/>
        <w:autoSpaceDE w:val="0"/>
        <w:autoSpaceDN w:val="0"/>
        <w:ind w:firstLine="420" w:firstLineChars="200"/>
        <w:rPr>
          <w:rFonts w:hint="eastAsia" w:ascii="黑体" w:hAnsi="黑体" w:eastAsia="黑体"/>
          <w:bCs/>
          <w:iCs/>
          <w:kern w:val="0"/>
          <w:szCs w:val="20"/>
          <w:highlight w:val="none"/>
        </w:rPr>
      </w:pPr>
      <w:r>
        <w:rPr>
          <w:rFonts w:hint="eastAsia" w:ascii="黑体" w:hAnsi="黑体" w:eastAsia="黑体"/>
          <w:bCs/>
          <w:iCs/>
          <w:kern w:val="0"/>
          <w:szCs w:val="20"/>
          <w:highlight w:val="none"/>
        </w:rPr>
        <w:t>自动控制系统  automatic control system</w:t>
      </w:r>
    </w:p>
    <w:p w14:paraId="47D8EA4C">
      <w:pPr>
        <w:pStyle w:val="28"/>
        <w:rPr>
          <w:rFonts w:hint="eastAsia" w:hAnsi="宋体"/>
          <w:szCs w:val="21"/>
          <w:highlight w:val="none"/>
          <w:shd w:val="clear" w:color="auto" w:fill="FFFFFF"/>
        </w:rPr>
      </w:pPr>
      <w:r>
        <w:rPr>
          <w:rFonts w:hint="eastAsia" w:hAnsi="宋体"/>
          <w:szCs w:val="21"/>
          <w:highlight w:val="none"/>
          <w:shd w:val="clear" w:color="auto" w:fill="FFFFFF"/>
        </w:rPr>
        <w:t>由传感器、执行器、控制器和人机界面等组成，实现</w:t>
      </w:r>
      <w:r>
        <w:rPr>
          <w:rFonts w:hint="eastAsia" w:ascii="黑体" w:hAnsi="黑体" w:eastAsia="黑体"/>
          <w:szCs w:val="21"/>
          <w:highlight w:val="none"/>
        </w:rPr>
        <w:t>上粉机（3.1）</w:t>
      </w:r>
      <w:r>
        <w:rPr>
          <w:rFonts w:hint="eastAsia" w:hAnsi="宋体"/>
          <w:szCs w:val="21"/>
          <w:highlight w:val="none"/>
          <w:shd w:val="clear" w:color="auto" w:fill="FFFFFF"/>
        </w:rPr>
        <w:t>运行参数设定、过程监控、动作控制及故障处理的功能集合。</w:t>
      </w:r>
    </w:p>
    <w:p w14:paraId="67A152CE">
      <w:pPr>
        <w:pStyle w:val="28"/>
        <w:ind w:firstLine="360"/>
        <w:rPr>
          <w:rFonts w:hint="eastAsia" w:hAnsi="宋体" w:cs="宋体"/>
          <w:sz w:val="18"/>
          <w:szCs w:val="18"/>
          <w:highlight w:val="none"/>
          <w:shd w:val="clear" w:color="auto" w:fill="FFFFFF"/>
        </w:rPr>
      </w:pPr>
      <w:r>
        <w:rPr>
          <w:rFonts w:hint="eastAsia" w:ascii="黑体" w:hAnsi="黑体" w:eastAsia="黑体" w:cs="黑体"/>
          <w:sz w:val="18"/>
          <w:szCs w:val="18"/>
          <w:highlight w:val="none"/>
          <w:shd w:val="clear" w:color="auto" w:fill="FFFFFF"/>
        </w:rPr>
        <w:t>注：</w:t>
      </w:r>
      <w:r>
        <w:rPr>
          <w:rFonts w:hint="eastAsia" w:hAnsi="宋体" w:cs="宋体"/>
          <w:sz w:val="18"/>
          <w:szCs w:val="18"/>
          <w:highlight w:val="none"/>
          <w:shd w:val="clear" w:color="auto" w:fill="FFFFFF"/>
        </w:rPr>
        <w:t>自动控制系统分为</w:t>
      </w:r>
      <w:r>
        <w:rPr>
          <w:rFonts w:hAnsi="宋体" w:cs="宋体"/>
          <w:sz w:val="18"/>
          <w:szCs w:val="18"/>
          <w:highlight w:val="none"/>
          <w:shd w:val="clear" w:color="auto" w:fill="FFFFFF"/>
        </w:rPr>
        <w:t>a)基本电气控制系统</w:t>
      </w:r>
      <w:r>
        <w:rPr>
          <w:rFonts w:hint="eastAsia" w:hAnsi="宋体" w:cs="宋体"/>
          <w:sz w:val="18"/>
          <w:szCs w:val="18"/>
          <w:highlight w:val="none"/>
          <w:shd w:val="clear" w:color="auto" w:fill="FFFFFF"/>
        </w:rPr>
        <w:t>：</w:t>
      </w:r>
      <w:r>
        <w:rPr>
          <w:rFonts w:hAnsi="宋体" w:cs="宋体"/>
          <w:sz w:val="18"/>
          <w:szCs w:val="18"/>
          <w:highlight w:val="none"/>
          <w:shd w:val="clear" w:color="auto" w:fill="FFFFFF"/>
        </w:rPr>
        <w:t>以继电器、接触器等硬件电路为主，通过按钮和旋钮实现</w:t>
      </w:r>
      <w:r>
        <w:rPr>
          <w:rFonts w:hint="eastAsia" w:hAnsi="宋体" w:cs="宋体"/>
          <w:sz w:val="18"/>
          <w:szCs w:val="18"/>
          <w:highlight w:val="none"/>
          <w:shd w:val="clear" w:color="auto" w:fill="FFFFFF"/>
        </w:rPr>
        <w:t>机器</w:t>
      </w:r>
      <w:r>
        <w:rPr>
          <w:rFonts w:hAnsi="宋体" w:cs="宋体"/>
          <w:sz w:val="18"/>
          <w:szCs w:val="18"/>
          <w:highlight w:val="none"/>
          <w:shd w:val="clear" w:color="auto" w:fill="FFFFFF"/>
        </w:rPr>
        <w:t>操作的控制系统；b)人机交互型控制系统</w:t>
      </w:r>
      <w:r>
        <w:rPr>
          <w:rFonts w:hint="eastAsia" w:hAnsi="宋体" w:cs="宋体"/>
          <w:sz w:val="18"/>
          <w:szCs w:val="18"/>
          <w:highlight w:val="none"/>
          <w:shd w:val="clear" w:color="auto" w:fill="FFFFFF"/>
        </w:rPr>
        <w:t>：</w:t>
      </w:r>
      <w:r>
        <w:rPr>
          <w:rFonts w:hAnsi="宋体" w:cs="宋体"/>
          <w:sz w:val="18"/>
          <w:szCs w:val="18"/>
          <w:highlight w:val="none"/>
          <w:shd w:val="clear" w:color="auto" w:fill="FFFFFF"/>
        </w:rPr>
        <w:t>配备人机界面或显示器，以可编程逻辑控制器</w:t>
      </w:r>
      <w:r>
        <w:rPr>
          <w:rFonts w:hint="eastAsia" w:hAnsi="宋体" w:cs="宋体"/>
          <w:sz w:val="18"/>
          <w:szCs w:val="18"/>
          <w:highlight w:val="none"/>
          <w:shd w:val="clear" w:color="auto" w:fill="FFFFFF"/>
        </w:rPr>
        <w:t>（</w:t>
      </w:r>
      <w:r>
        <w:rPr>
          <w:rFonts w:hAnsi="宋体" w:cs="宋体"/>
          <w:sz w:val="18"/>
          <w:szCs w:val="18"/>
          <w:highlight w:val="none"/>
          <w:shd w:val="clear" w:color="auto" w:fill="FFFFFF"/>
        </w:rPr>
        <w:t>PLC</w:t>
      </w:r>
      <w:r>
        <w:rPr>
          <w:rFonts w:hint="eastAsia" w:hAnsi="宋体" w:cs="宋体"/>
          <w:sz w:val="18"/>
          <w:szCs w:val="18"/>
          <w:highlight w:val="none"/>
          <w:shd w:val="clear" w:color="auto" w:fill="FFFFFF"/>
        </w:rPr>
        <w:t>）</w:t>
      </w:r>
      <w:r>
        <w:rPr>
          <w:rFonts w:hAnsi="宋体" w:cs="宋体"/>
          <w:sz w:val="18"/>
          <w:szCs w:val="18"/>
          <w:highlight w:val="none"/>
          <w:shd w:val="clear" w:color="auto" w:fill="FFFFFF"/>
        </w:rPr>
        <w:t>或工控机为</w:t>
      </w:r>
      <w:r>
        <w:rPr>
          <w:rFonts w:hint="eastAsia" w:hAnsi="宋体" w:cs="宋体"/>
          <w:sz w:val="18"/>
          <w:szCs w:val="18"/>
          <w:highlight w:val="none"/>
          <w:shd w:val="clear" w:color="auto" w:fill="FFFFFF"/>
        </w:rPr>
        <w:t>机器</w:t>
      </w:r>
      <w:r>
        <w:rPr>
          <w:rFonts w:hAnsi="宋体" w:cs="宋体"/>
          <w:sz w:val="18"/>
          <w:szCs w:val="18"/>
          <w:highlight w:val="none"/>
          <w:shd w:val="clear" w:color="auto" w:fill="FFFFFF"/>
        </w:rPr>
        <w:t>核心控制器的自动控制系统；c)网络数字化控制系统：在人机交互型控制系统基础上增加工业网络接口，可与MES或上位机连接，支持数字化</w:t>
      </w:r>
      <w:r>
        <w:rPr>
          <w:rFonts w:hint="eastAsia" w:hAnsi="宋体" w:cs="宋体"/>
          <w:sz w:val="18"/>
          <w:szCs w:val="18"/>
          <w:highlight w:val="none"/>
          <w:shd w:val="clear" w:color="auto" w:fill="FFFFFF"/>
        </w:rPr>
        <w:t>和</w:t>
      </w:r>
      <w:r>
        <w:rPr>
          <w:rFonts w:hAnsi="宋体" w:cs="宋体"/>
          <w:sz w:val="18"/>
          <w:szCs w:val="18"/>
          <w:highlight w:val="none"/>
          <w:shd w:val="clear" w:color="auto" w:fill="FFFFFF"/>
        </w:rPr>
        <w:t>网络化控制</w:t>
      </w:r>
      <w:r>
        <w:rPr>
          <w:rFonts w:hint="eastAsia" w:hAnsi="宋体" w:cs="宋体"/>
          <w:sz w:val="18"/>
          <w:szCs w:val="18"/>
          <w:highlight w:val="none"/>
          <w:shd w:val="clear" w:color="auto" w:fill="FFFFFF"/>
        </w:rPr>
        <w:t>机器</w:t>
      </w:r>
      <w:r>
        <w:rPr>
          <w:rFonts w:hAnsi="宋体" w:cs="宋体"/>
          <w:sz w:val="18"/>
          <w:szCs w:val="18"/>
          <w:highlight w:val="none"/>
          <w:shd w:val="clear" w:color="auto" w:fill="FFFFFF"/>
        </w:rPr>
        <w:t>的控制系统。</w:t>
      </w:r>
    </w:p>
    <w:p w14:paraId="32F2A30C">
      <w:pPr>
        <w:pStyle w:val="173"/>
        <w:numPr>
          <w:ilvl w:val="1"/>
          <w:numId w:val="18"/>
        </w:numPr>
        <w:spacing w:line="240" w:lineRule="auto"/>
        <w:jc w:val="both"/>
        <w:rPr>
          <w:highlight w:val="none"/>
        </w:rPr>
      </w:pPr>
      <w:bookmarkStart w:id="83" w:name="_Toc186914325"/>
      <w:bookmarkEnd w:id="83"/>
      <w:bookmarkStart w:id="84" w:name="_Toc196241121"/>
      <w:bookmarkEnd w:id="84"/>
      <w:bookmarkStart w:id="85" w:name="_Toc186914326"/>
      <w:bookmarkEnd w:id="85"/>
      <w:bookmarkStart w:id="86" w:name="_Toc17642"/>
      <w:bookmarkStart w:id="87" w:name="_Hlk190700350"/>
      <w:r>
        <w:rPr>
          <w:rFonts w:hint="eastAsia"/>
          <w:highlight w:val="none"/>
        </w:rPr>
        <w:t>型式与型号</w:t>
      </w:r>
      <w:bookmarkEnd w:id="86"/>
    </w:p>
    <w:bookmarkEnd w:id="87"/>
    <w:p w14:paraId="2165C0A7">
      <w:pPr>
        <w:widowControl/>
        <w:numPr>
          <w:ilvl w:val="2"/>
          <w:numId w:val="18"/>
        </w:numPr>
        <w:spacing w:before="156" w:beforeLines="50" w:after="156" w:afterLines="50"/>
        <w:outlineLvl w:val="1"/>
        <w:rPr>
          <w:rFonts w:ascii="黑体" w:eastAsia="黑体"/>
          <w:kern w:val="0"/>
          <w:szCs w:val="21"/>
          <w:highlight w:val="none"/>
        </w:rPr>
      </w:pPr>
      <w:bookmarkStart w:id="88" w:name="_Toc23605"/>
      <w:r>
        <w:rPr>
          <w:rFonts w:hint="eastAsia" w:ascii="黑体" w:eastAsia="黑体"/>
          <w:kern w:val="0"/>
          <w:szCs w:val="21"/>
          <w:highlight w:val="none"/>
        </w:rPr>
        <w:t>型式</w:t>
      </w:r>
      <w:bookmarkEnd w:id="88"/>
    </w:p>
    <w:p w14:paraId="579C9079">
      <w:pPr>
        <w:pStyle w:val="28"/>
        <w:rPr>
          <w:rFonts w:hint="eastAsia" w:hAnsi="宋体" w:cs="宋体"/>
          <w:szCs w:val="21"/>
          <w:highlight w:val="none"/>
        </w:rPr>
      </w:pPr>
      <w:r>
        <w:rPr>
          <w:rFonts w:hint="eastAsia" w:hAnsi="宋体" w:cs="宋体"/>
          <w:szCs w:val="21"/>
          <w:highlight w:val="none"/>
        </w:rPr>
        <w:t>上粉机按其上粉方式分为平板式（P）和滚筒式（G）。</w:t>
      </w:r>
    </w:p>
    <w:p w14:paraId="2C5F4893">
      <w:pPr>
        <w:widowControl/>
        <w:numPr>
          <w:ilvl w:val="2"/>
          <w:numId w:val="18"/>
        </w:numPr>
        <w:spacing w:before="156" w:beforeLines="50" w:after="156" w:afterLines="50"/>
        <w:outlineLvl w:val="1"/>
        <w:rPr>
          <w:rFonts w:ascii="黑体" w:eastAsia="黑体"/>
          <w:kern w:val="0"/>
          <w:szCs w:val="21"/>
          <w:highlight w:val="none"/>
        </w:rPr>
      </w:pPr>
      <w:bookmarkStart w:id="89" w:name="_Toc30174"/>
      <w:r>
        <w:rPr>
          <w:rFonts w:hint="eastAsia" w:ascii="黑体" w:eastAsia="黑体"/>
          <w:kern w:val="0"/>
          <w:szCs w:val="21"/>
          <w:highlight w:val="none"/>
        </w:rPr>
        <w:t>型号</w:t>
      </w:r>
      <w:bookmarkEnd w:id="89"/>
    </w:p>
    <w:p w14:paraId="5E700857">
      <w:pPr>
        <w:pStyle w:val="28"/>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上粉机的产品型</w:t>
      </w:r>
      <w:r>
        <w:rPr>
          <w:rFonts w:hint="eastAsia" w:cs="宋体" w:asciiTheme="minorEastAsia" w:hAnsiTheme="minorEastAsia" w:eastAsiaTheme="minorEastAsia"/>
          <w:szCs w:val="21"/>
          <w:highlight w:val="none"/>
        </w:rPr>
        <w:t>号编制由主要名称代号、上粉方式代号和网带宽度代号三部分组成</w:t>
      </w:r>
      <w:r>
        <w:rPr>
          <w:rFonts w:cs="宋体" w:asciiTheme="minorEastAsia" w:hAnsiTheme="minorEastAsia" w:eastAsiaTheme="minorEastAsia"/>
          <w:szCs w:val="21"/>
          <w:highlight w:val="none"/>
        </w:rPr>
        <w:t>，各部分之间以“-”分隔</w:t>
      </w:r>
      <w:r>
        <w:rPr>
          <w:rFonts w:hint="eastAsia" w:cs="宋体" w:asciiTheme="minorEastAsia" w:hAnsiTheme="minorEastAsia" w:eastAsiaTheme="minorEastAsia"/>
          <w:szCs w:val="21"/>
          <w:highlight w:val="none"/>
        </w:rPr>
        <w:t>。其中，主要名称代号</w:t>
      </w:r>
      <w:r>
        <w:rPr>
          <w:rFonts w:hint="eastAsia" w:cs="宋体" w:asciiTheme="minorEastAsia" w:hAnsiTheme="minorEastAsia" w:eastAsiaTheme="minorEastAsia"/>
          <w:szCs w:val="21"/>
          <w:highlight w:val="none"/>
        </w:rPr>
        <w:t>用“上粉机”的拼音首字母“SFJ”居首位表示，上粉方式</w:t>
      </w:r>
      <w:r>
        <w:rPr>
          <w:rFonts w:cs="宋体" w:asciiTheme="minorEastAsia" w:hAnsiTheme="minorEastAsia" w:eastAsiaTheme="minorEastAsia"/>
          <w:szCs w:val="21"/>
          <w:highlight w:val="none"/>
        </w:rPr>
        <w:t>代号用</w:t>
      </w:r>
      <w:r>
        <w:rPr>
          <w:rFonts w:hint="eastAsia" w:cs="宋体" w:asciiTheme="minorEastAsia" w:hAnsiTheme="minorEastAsia" w:eastAsiaTheme="minorEastAsia"/>
          <w:szCs w:val="21"/>
          <w:highlight w:val="none"/>
        </w:rPr>
        <w:t>上粉机</w:t>
      </w:r>
      <w:r>
        <w:rPr>
          <w:rFonts w:cs="宋体" w:asciiTheme="minorEastAsia" w:hAnsiTheme="minorEastAsia" w:eastAsiaTheme="minorEastAsia"/>
          <w:szCs w:val="21"/>
          <w:highlight w:val="none"/>
        </w:rPr>
        <w:t>的</w:t>
      </w:r>
      <w:r>
        <w:rPr>
          <w:rFonts w:hint="eastAsia" w:cs="宋体" w:asciiTheme="minorEastAsia" w:hAnsiTheme="minorEastAsia" w:eastAsiaTheme="minorEastAsia"/>
          <w:szCs w:val="21"/>
          <w:highlight w:val="none"/>
        </w:rPr>
        <w:t>上粉</w:t>
      </w:r>
      <w:r>
        <w:rPr>
          <w:rFonts w:cs="宋体" w:asciiTheme="minorEastAsia" w:hAnsiTheme="minorEastAsia" w:eastAsiaTheme="minorEastAsia"/>
          <w:szCs w:val="21"/>
          <w:highlight w:val="none"/>
        </w:rPr>
        <w:t>方式简写居第二位表示，</w:t>
      </w:r>
      <w:r>
        <w:rPr>
          <w:rFonts w:hint="eastAsia" w:cs="宋体" w:asciiTheme="minorEastAsia" w:hAnsiTheme="minorEastAsia" w:eastAsiaTheme="minorEastAsia"/>
          <w:szCs w:val="21"/>
          <w:highlight w:val="none"/>
        </w:rPr>
        <w:t>网带宽度代号</w:t>
      </w:r>
      <w:r>
        <w:rPr>
          <w:rFonts w:cs="宋体" w:asciiTheme="minorEastAsia" w:hAnsiTheme="minorEastAsia" w:eastAsiaTheme="minorEastAsia"/>
          <w:szCs w:val="21"/>
          <w:highlight w:val="none"/>
        </w:rPr>
        <w:t>用阿拉伯数字居第三位表示，单位为</w:t>
      </w:r>
      <w:r>
        <w:rPr>
          <w:rFonts w:hint="eastAsia" w:cs="宋体" w:asciiTheme="minorEastAsia" w:hAnsiTheme="minorEastAsia" w:eastAsiaTheme="minorEastAsia"/>
          <w:szCs w:val="21"/>
          <w:highlight w:val="none"/>
        </w:rPr>
        <w:t>mm</w:t>
      </w:r>
      <w:r>
        <w:rPr>
          <w:rFonts w:cs="宋体" w:asciiTheme="minorEastAsia" w:hAnsiTheme="minorEastAsia" w:eastAsiaTheme="minorEastAsia"/>
          <w:szCs w:val="21"/>
          <w:highlight w:val="none"/>
        </w:rPr>
        <w:t>，</w:t>
      </w:r>
      <w:r>
        <w:rPr>
          <w:rFonts w:hint="eastAsia" w:cs="宋体" w:asciiTheme="minorEastAsia" w:hAnsiTheme="minorEastAsia" w:eastAsiaTheme="minorEastAsia"/>
          <w:szCs w:val="21"/>
          <w:highlight w:val="none"/>
        </w:rPr>
        <w:t>其型号编制形式如图1所示：</w:t>
      </w:r>
    </w:p>
    <w:p w14:paraId="0AFCE2C0">
      <w:pPr>
        <w:spacing w:after="156" w:afterLines="50"/>
        <w:ind w:firstLine="420" w:firstLineChars="200"/>
        <w:rPr>
          <w:kern w:val="0"/>
          <w:szCs w:val="20"/>
          <w:highlight w:val="none"/>
        </w:rPr>
      </w:pPr>
    </w:p>
    <w:p w14:paraId="22939DDE">
      <w:pPr>
        <w:ind w:firstLine="420" w:firstLineChars="200"/>
        <w:rPr>
          <w:rFonts w:hint="eastAsia" w:ascii="黑体" w:hAnsi="黑体" w:eastAsia="黑体" w:cs="黑体"/>
          <w:kern w:val="0"/>
          <w:sz w:val="18"/>
          <w:szCs w:val="18"/>
          <w:highlight w:val="none"/>
        </w:rPr>
      </w:pPr>
      <w:r>
        <w:rPr>
          <w:highlight w:val="none"/>
        </w:rPr>
        <mc:AlternateContent>
          <mc:Choice Requires="wpg">
            <w:drawing>
              <wp:inline distT="0" distB="0" distL="114300" distR="114300">
                <wp:extent cx="5939790" cy="2190115"/>
                <wp:effectExtent l="0" t="0" r="0" b="635"/>
                <wp:docPr id="5" name="组合 1306366357"/>
                <wp:cNvGraphicFramePr/>
                <a:graphic xmlns:a="http://schemas.openxmlformats.org/drawingml/2006/main">
                  <a:graphicData uri="http://schemas.microsoft.com/office/word/2010/wordprocessingGroup">
                    <wpg:wgp>
                      <wpg:cNvGrpSpPr>
                        <a:grpSpLocks noRot="1"/>
                      </wpg:cNvGrpSpPr>
                      <wpg:grpSpPr>
                        <a:xfrm>
                          <a:off x="0" y="0"/>
                          <a:ext cx="5939942" cy="2190128"/>
                          <a:chOff x="4951" y="571"/>
                          <a:chExt cx="25448" cy="8072"/>
                        </a:xfrm>
                        <a:effectLst/>
                      </wpg:grpSpPr>
                      <wpg:grpSp>
                        <wpg:cNvPr id="1105585041" name="组合 5"/>
                        <wpg:cNvGrpSpPr/>
                        <wpg:grpSpPr>
                          <a:xfrm>
                            <a:off x="4951" y="2033"/>
                            <a:ext cx="6772" cy="13"/>
                            <a:chOff x="4951" y="33"/>
                            <a:chExt cx="6772" cy="13"/>
                          </a:xfrm>
                          <a:effectLst/>
                        </wpg:grpSpPr>
                        <wps:wsp>
                          <wps:cNvPr id="1126725348" name="直接连接符 6"/>
                          <wps:cNvCnPr/>
                          <wps:spPr bwMode="auto">
                            <a:xfrm>
                              <a:off x="8465" y="46"/>
                              <a:ext cx="1382" cy="0"/>
                            </a:xfrm>
                            <a:prstGeom prst="line">
                              <a:avLst/>
                            </a:prstGeom>
                            <a:noFill/>
                            <a:ln w="9525">
                              <a:solidFill>
                                <a:sysClr val="windowText" lastClr="000000">
                                  <a:lumMod val="100000"/>
                                  <a:lumOff val="0"/>
                                </a:sysClr>
                              </a:solidFill>
                              <a:round/>
                            </a:ln>
                            <a:effectLst/>
                          </wps:spPr>
                          <wps:bodyPr/>
                        </wps:wsp>
                        <wps:wsp>
                          <wps:cNvPr id="559043198" name="直接连接符 8"/>
                          <wps:cNvCnPr/>
                          <wps:spPr bwMode="auto">
                            <a:xfrm>
                              <a:off x="4951" y="33"/>
                              <a:ext cx="2996" cy="0"/>
                            </a:xfrm>
                            <a:prstGeom prst="line">
                              <a:avLst/>
                            </a:prstGeom>
                            <a:noFill/>
                            <a:ln w="9525">
                              <a:solidFill>
                                <a:sysClr val="windowText" lastClr="000000">
                                  <a:lumMod val="100000"/>
                                  <a:lumOff val="0"/>
                                </a:sysClr>
                              </a:solidFill>
                              <a:round/>
                            </a:ln>
                            <a:effectLst/>
                          </wps:spPr>
                          <wps:bodyPr/>
                        </wps:wsp>
                        <wps:wsp>
                          <wps:cNvPr id="786789312" name="直接连接符 6"/>
                          <wps:cNvCnPr/>
                          <wps:spPr bwMode="auto">
                            <a:xfrm>
                              <a:off x="10341" y="46"/>
                              <a:ext cx="1382" cy="0"/>
                            </a:xfrm>
                            <a:prstGeom prst="line">
                              <a:avLst/>
                            </a:prstGeom>
                            <a:noFill/>
                            <a:ln w="9525">
                              <a:solidFill>
                                <a:sysClr val="windowText" lastClr="000000">
                                  <a:lumMod val="100000"/>
                                  <a:lumOff val="0"/>
                                </a:sysClr>
                              </a:solidFill>
                              <a:round/>
                            </a:ln>
                            <a:effectLst/>
                          </wps:spPr>
                          <wps:bodyPr/>
                        </wps:wsp>
                      </wpg:grpSp>
                      <wpg:grpSp>
                        <wpg:cNvPr id="2130215832" name="组合 11"/>
                        <wpg:cNvGrpSpPr/>
                        <wpg:grpSpPr>
                          <a:xfrm>
                            <a:off x="4951" y="571"/>
                            <a:ext cx="25448" cy="8072"/>
                            <a:chOff x="4761" y="571"/>
                            <a:chExt cx="25447" cy="8071"/>
                          </a:xfrm>
                          <a:effectLst/>
                        </wpg:grpSpPr>
                        <wps:wsp>
                          <wps:cNvPr id="1713828388" name="直接连接符 14"/>
                          <wps:cNvCnPr/>
                          <wps:spPr bwMode="auto">
                            <a:xfrm>
                              <a:off x="6235" y="2045"/>
                              <a:ext cx="0" cy="4669"/>
                            </a:xfrm>
                            <a:prstGeom prst="line">
                              <a:avLst/>
                            </a:prstGeom>
                            <a:noFill/>
                            <a:ln w="9525">
                              <a:solidFill>
                                <a:sysClr val="windowText" lastClr="000000">
                                  <a:lumMod val="100000"/>
                                  <a:lumOff val="0"/>
                                </a:sysClr>
                              </a:solidFill>
                              <a:round/>
                            </a:ln>
                            <a:effectLst/>
                          </wps:spPr>
                          <wps:bodyPr/>
                        </wps:wsp>
                        <wps:wsp>
                          <wps:cNvPr id="808649593" name="直接连接符 15"/>
                          <wps:cNvCnPr/>
                          <wps:spPr bwMode="auto">
                            <a:xfrm>
                              <a:off x="8919" y="2074"/>
                              <a:ext cx="37" cy="3302"/>
                            </a:xfrm>
                            <a:prstGeom prst="line">
                              <a:avLst/>
                            </a:prstGeom>
                            <a:noFill/>
                            <a:ln w="9525">
                              <a:solidFill>
                                <a:sysClr val="windowText" lastClr="000000">
                                  <a:lumMod val="100000"/>
                                  <a:lumOff val="0"/>
                                </a:sysClr>
                              </a:solidFill>
                              <a:round/>
                            </a:ln>
                            <a:effectLst/>
                          </wps:spPr>
                          <wps:bodyPr/>
                        </wps:wsp>
                        <wps:wsp>
                          <wps:cNvPr id="1580773285" name="直接连接符 16"/>
                          <wps:cNvCnPr/>
                          <wps:spPr bwMode="auto">
                            <a:xfrm flipV="1">
                              <a:off x="8956" y="5378"/>
                              <a:ext cx="9297" cy="1"/>
                            </a:xfrm>
                            <a:prstGeom prst="line">
                              <a:avLst/>
                            </a:prstGeom>
                            <a:noFill/>
                            <a:ln w="9525">
                              <a:solidFill>
                                <a:sysClr val="windowText" lastClr="000000">
                                  <a:lumMod val="100000"/>
                                  <a:lumOff val="0"/>
                                </a:sysClr>
                              </a:solidFill>
                              <a:round/>
                            </a:ln>
                            <a:effectLst/>
                          </wps:spPr>
                          <wps:bodyPr/>
                        </wps:wsp>
                        <wps:wsp>
                          <wps:cNvPr id="1833074656" name="直接连接符 17"/>
                          <wps:cNvCnPr/>
                          <wps:spPr bwMode="auto">
                            <a:xfrm>
                              <a:off x="6235" y="6687"/>
                              <a:ext cx="12018" cy="30"/>
                            </a:xfrm>
                            <a:prstGeom prst="line">
                              <a:avLst/>
                            </a:prstGeom>
                            <a:noFill/>
                            <a:ln w="9525">
                              <a:solidFill>
                                <a:sysClr val="windowText" lastClr="000000">
                                  <a:lumMod val="100000"/>
                                  <a:lumOff val="0"/>
                                </a:sysClr>
                              </a:solidFill>
                              <a:round/>
                            </a:ln>
                            <a:effectLst/>
                          </wps:spPr>
                          <wps:bodyPr/>
                        </wps:wsp>
                        <wps:wsp>
                          <wps:cNvPr id="681703077" name="Text Box 61"/>
                          <wps:cNvSpPr txBox="1">
                            <a:spLocks noChangeArrowheads="1"/>
                          </wps:cNvSpPr>
                          <wps:spPr bwMode="auto">
                            <a:xfrm>
                              <a:off x="4761" y="571"/>
                              <a:ext cx="2996" cy="1238"/>
                            </a:xfrm>
                            <a:prstGeom prst="rect">
                              <a:avLst/>
                            </a:prstGeom>
                            <a:solidFill>
                              <a:srgbClr val="FFFFFF"/>
                            </a:solidFill>
                            <a:ln w="9525">
                              <a:solidFill>
                                <a:srgbClr val="000000"/>
                              </a:solidFill>
                              <a:miter lim="800000"/>
                            </a:ln>
                            <a:effectLst/>
                          </wps:spPr>
                          <wps:txbx>
                            <w:txbxContent>
                              <w:p w14:paraId="5D7A93A4">
                                <w:pPr>
                                  <w:ind w:firstLine="300"/>
                                  <w:jc w:val="center"/>
                                  <w:rPr>
                                    <w:sz w:val="15"/>
                                  </w:rPr>
                                </w:pPr>
                              </w:p>
                            </w:txbxContent>
                          </wps:txbx>
                          <wps:bodyPr rot="0" vert="horz" wrap="square" lIns="0" tIns="0" rIns="0" bIns="0" anchor="ctr" anchorCtr="0" upright="1">
                            <a:noAutofit/>
                          </wps:bodyPr>
                        </wps:wsp>
                        <wps:wsp>
                          <wps:cNvPr id="2041614116" name="Text Box 62"/>
                          <wps:cNvSpPr txBox="1">
                            <a:spLocks noChangeArrowheads="1"/>
                          </wps:cNvSpPr>
                          <wps:spPr bwMode="auto">
                            <a:xfrm>
                              <a:off x="8289" y="571"/>
                              <a:ext cx="1334" cy="1238"/>
                            </a:xfrm>
                            <a:prstGeom prst="rect">
                              <a:avLst/>
                            </a:prstGeom>
                            <a:solidFill>
                              <a:srgbClr val="FFFFFF"/>
                            </a:solidFill>
                            <a:ln w="9525">
                              <a:solidFill>
                                <a:srgbClr val="000000"/>
                              </a:solidFill>
                              <a:miter lim="800000"/>
                            </a:ln>
                            <a:effectLst/>
                          </wps:spPr>
                          <wps:txbx>
                            <w:txbxContent>
                              <w:p w14:paraId="17A4D32A">
                                <w:pPr>
                                  <w:ind w:firstLine="300"/>
                                  <w:jc w:val="center"/>
                                  <w:rPr>
                                    <w:sz w:val="15"/>
                                  </w:rPr>
                                </w:pPr>
                              </w:p>
                            </w:txbxContent>
                          </wps:txbx>
                          <wps:bodyPr rot="0" vert="horz" wrap="square" lIns="0" tIns="0" rIns="0" bIns="0" anchor="ctr" anchorCtr="0" upright="1">
                            <a:noAutofit/>
                          </wps:bodyPr>
                        </wps:wsp>
                        <wps:wsp>
                          <wps:cNvPr id="1741968" name="Text Box 63"/>
                          <wps:cNvSpPr txBox="1">
                            <a:spLocks noChangeArrowheads="1"/>
                          </wps:cNvSpPr>
                          <wps:spPr bwMode="auto">
                            <a:xfrm>
                              <a:off x="18028" y="2802"/>
                              <a:ext cx="12180" cy="5840"/>
                            </a:xfrm>
                            <a:prstGeom prst="rect">
                              <a:avLst/>
                            </a:prstGeom>
                            <a:noFill/>
                            <a:ln>
                              <a:noFill/>
                            </a:ln>
                            <a:effectLst/>
                          </wps:spPr>
                          <wps:txbx>
                            <w:txbxContent>
                              <w:p w14:paraId="73078B88">
                                <w:pPr>
                                  <w:autoSpaceDE w:val="0"/>
                                  <w:autoSpaceDN w:val="0"/>
                                  <w:spacing w:line="320" w:lineRule="exact"/>
                                  <w:jc w:val="left"/>
                                  <w:rPr>
                                    <w:rFonts w:hint="eastAsia" w:ascii="宋体" w:hAnsi="宋体"/>
                                    <w:szCs w:val="21"/>
                                  </w:rPr>
                                </w:pPr>
                              </w:p>
                              <w:p w14:paraId="0380CF87">
                                <w:pPr>
                                  <w:autoSpaceDE w:val="0"/>
                                  <w:autoSpaceDN w:val="0"/>
                                  <w:spacing w:line="440" w:lineRule="exact"/>
                                  <w:jc w:val="left"/>
                                  <w:rPr>
                                    <w:rFonts w:hint="eastAsia" w:cs="宋体" w:asciiTheme="minorEastAsia" w:hAnsiTheme="minorEastAsia" w:eastAsiaTheme="minorEastAsia"/>
                                    <w:bCs/>
                                  </w:rPr>
                                </w:pPr>
                                <w:r>
                                  <w:rPr>
                                    <w:rFonts w:hint="eastAsia" w:ascii="宋体" w:hAnsi="宋体"/>
                                    <w:szCs w:val="21"/>
                                  </w:rPr>
                                  <w:t>网带宽度</w:t>
                                </w:r>
                                <w:r>
                                  <w:rPr>
                                    <w:rFonts w:hint="eastAsia" w:hAnsi="宋体" w:cs="宋体"/>
                                    <w:bCs/>
                                  </w:rPr>
                                  <w:t>代号</w:t>
                                </w:r>
                                <w:r>
                                  <w:rPr>
                                    <w:rFonts w:hint="eastAsia" w:cs="宋体" w:asciiTheme="minorEastAsia" w:hAnsiTheme="minorEastAsia" w:eastAsiaTheme="minorEastAsia"/>
                                    <w:bCs/>
                                  </w:rPr>
                                  <w:t>，单位：mm</w:t>
                                </w:r>
                              </w:p>
                              <w:p w14:paraId="7FA62FE7">
                                <w:pPr>
                                  <w:autoSpaceDE w:val="0"/>
                                  <w:autoSpaceDN w:val="0"/>
                                  <w:spacing w:line="440" w:lineRule="exact"/>
                                  <w:jc w:val="left"/>
                                  <w:rPr>
                                    <w:rFonts w:hint="eastAsia" w:cs="宋体" w:asciiTheme="minorEastAsia" w:hAnsiTheme="minorEastAsia" w:eastAsiaTheme="minorEastAsia"/>
                                    <w:bCs/>
                                  </w:rPr>
                                </w:pPr>
                                <w:r>
                                  <w:rPr>
                                    <w:rFonts w:hint="eastAsia" w:asciiTheme="minorEastAsia" w:hAnsiTheme="minorEastAsia" w:eastAsiaTheme="minorEastAsia"/>
                                    <w:color w:val="000000"/>
                                    <w:szCs w:val="21"/>
                                  </w:rPr>
                                  <w:t>上粉</w:t>
                                </w:r>
                                <w:r>
                                  <w:rPr>
                                    <w:rFonts w:hint="eastAsia" w:asciiTheme="minorEastAsia" w:hAnsiTheme="minorEastAsia" w:eastAsiaTheme="minorEastAsia"/>
                                    <w:szCs w:val="21"/>
                                  </w:rPr>
                                  <w:t>方式</w:t>
                                </w:r>
                                <w:r>
                                  <w:rPr>
                                    <w:rFonts w:hint="eastAsia" w:cs="宋体" w:asciiTheme="minorEastAsia" w:hAnsiTheme="minorEastAsia" w:eastAsiaTheme="minorEastAsia"/>
                                    <w:bCs/>
                                  </w:rPr>
                                  <w:t>代号，P、G</w:t>
                                </w:r>
                              </w:p>
                              <w:p w14:paraId="2588A429">
                                <w:pPr>
                                  <w:autoSpaceDE w:val="0"/>
                                  <w:autoSpaceDN w:val="0"/>
                                  <w:spacing w:before="156" w:beforeLines="50" w:line="440" w:lineRule="exact"/>
                                  <w:jc w:val="left"/>
                                  <w:rPr>
                                    <w:rFonts w:hint="eastAsia" w:cs="宋体" w:asciiTheme="minorEastAsia" w:hAnsiTheme="minorEastAsia" w:eastAsiaTheme="minorEastAsia"/>
                                    <w:bCs/>
                                  </w:rPr>
                                </w:pPr>
                                <w:r>
                                  <w:rPr>
                                    <w:rFonts w:hint="eastAsia" w:cs="宋体" w:asciiTheme="minorEastAsia" w:hAnsiTheme="minorEastAsia" w:eastAsiaTheme="minorEastAsia"/>
                                    <w:kern w:val="0"/>
                                    <w:highlight w:val="none"/>
                                  </w:rPr>
                                  <w:t>主要名称代</w:t>
                                </w:r>
                                <w:r>
                                  <w:rPr>
                                    <w:rFonts w:hint="eastAsia" w:cs="宋体" w:asciiTheme="minorEastAsia" w:hAnsiTheme="minorEastAsia" w:eastAsiaTheme="minorEastAsia"/>
                                    <w:kern w:val="0"/>
                                  </w:rPr>
                                  <w:t>号，SFJ</w:t>
                                </w:r>
                              </w:p>
                            </w:txbxContent>
                          </wps:txbx>
                          <wps:bodyPr rot="0" vert="horz" wrap="square" lIns="91440" tIns="45720" rIns="91440" bIns="45720" anchor="t" anchorCtr="0" upright="1">
                            <a:noAutofit/>
                          </wps:bodyPr>
                        </wps:wsp>
                        <wps:wsp>
                          <wps:cNvPr id="1318938094" name="直接连接符 16"/>
                          <wps:cNvCnPr/>
                          <wps:spPr bwMode="auto">
                            <a:xfrm flipV="1">
                              <a:off x="10756" y="4225"/>
                              <a:ext cx="7497" cy="53"/>
                            </a:xfrm>
                            <a:prstGeom prst="line">
                              <a:avLst/>
                            </a:prstGeom>
                            <a:noFill/>
                            <a:ln w="9525">
                              <a:solidFill>
                                <a:sysClr val="windowText" lastClr="000000">
                                  <a:lumMod val="100000"/>
                                  <a:lumOff val="0"/>
                                </a:sysClr>
                              </a:solidFill>
                              <a:round/>
                            </a:ln>
                            <a:effectLst/>
                          </wps:spPr>
                          <wps:bodyPr/>
                        </wps:wsp>
                        <wps:wsp>
                          <wps:cNvPr id="1046044964" name="Text Box 62"/>
                          <wps:cNvSpPr txBox="1">
                            <a:spLocks noChangeArrowheads="1"/>
                          </wps:cNvSpPr>
                          <wps:spPr bwMode="auto">
                            <a:xfrm>
                              <a:off x="10151" y="571"/>
                              <a:ext cx="1334" cy="1238"/>
                            </a:xfrm>
                            <a:prstGeom prst="rect">
                              <a:avLst/>
                            </a:prstGeom>
                            <a:solidFill>
                              <a:srgbClr val="FFFFFF"/>
                            </a:solidFill>
                            <a:ln w="9525">
                              <a:solidFill>
                                <a:srgbClr val="000000"/>
                              </a:solidFill>
                              <a:miter lim="800000"/>
                            </a:ln>
                            <a:effectLst/>
                          </wps:spPr>
                          <wps:txbx>
                            <w:txbxContent>
                              <w:p w14:paraId="747CB1DE">
                                <w:pPr>
                                  <w:ind w:firstLine="300"/>
                                  <w:jc w:val="center"/>
                                  <w:rPr>
                                    <w:sz w:val="15"/>
                                  </w:rPr>
                                </w:pPr>
                              </w:p>
                            </w:txbxContent>
                          </wps:txbx>
                          <wps:bodyPr rot="0" vert="horz" wrap="square" lIns="0" tIns="0" rIns="0" bIns="0" anchor="ctr" anchorCtr="0" upright="1">
                            <a:noAutofit/>
                          </wps:bodyPr>
                        </wps:wsp>
                        <wps:wsp>
                          <wps:cNvPr id="1817988315" name="直接连接符 15"/>
                          <wps:cNvCnPr/>
                          <wps:spPr bwMode="auto">
                            <a:xfrm>
                              <a:off x="10780" y="2002"/>
                              <a:ext cx="0" cy="2274"/>
                            </a:xfrm>
                            <a:prstGeom prst="line">
                              <a:avLst/>
                            </a:prstGeom>
                            <a:noFill/>
                            <a:ln w="9525">
                              <a:solidFill>
                                <a:sysClr val="windowText" lastClr="000000">
                                  <a:lumMod val="100000"/>
                                  <a:lumOff val="0"/>
                                </a:sysClr>
                              </a:solidFill>
                              <a:round/>
                            </a:ln>
                            <a:effectLst/>
                          </wps:spPr>
                          <wps:bodyPr/>
                        </wps:wsp>
                      </wpg:grpSp>
                    </wpg:wgp>
                  </a:graphicData>
                </a:graphic>
              </wp:inline>
            </w:drawing>
          </mc:Choice>
          <mc:Fallback>
            <w:pict>
              <v:group id="组合 1306366357" o:spid="_x0000_s1026" o:spt="203" style="height:172.45pt;width:467.7pt;" coordorigin="4951,571" coordsize="25448,8072" o:gfxdata="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">
                <o:lock v:ext="edit" rotation="t" aspectratio="f"/>
                <v:group id="组合 5" o:spid="_x0000_s1026" o:spt="203" style="position:absolute;left:4951;top:2033;height:13;width:6772;" coordorigin="4951,33" coordsize="6772,13" o:gfxdata="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PdN99fBAAAA4wAAAA8AAAAAAAAAAQAgAAAAIgAAAGRycy9kb3ducmV2&#10;LnhtbFBLAQIUABQAAAAIAIdO4kAzLwWeOwAAADkAAAAVAAAAAAAAAAEAIAAAABABAABkcnMvZ3Jv&#10;dXBzaGFwZXhtbC54bWxQSwUGAAAAAAYABgBgAQAAzQMAAAAA&#10;">
                  <o:lock v:ext="edit" aspectratio="f"/>
                  <v:line id="直接连接符 6" o:spid="_x0000_s1026" o:spt="20" style="position:absolute;left:8465;top:46;height:0;width:1382;" filled="f" stroked="t" coordsize="21600,21600" o:gfxdata="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Kp60NXFAAAA4wAAAA8AAAAAAAAAAQAgAAAAIgAAAGRycy9kb3ducmV2LnhtbFBLAQIUABQAAAAI&#10;AIdO4kAzLwWeOwAAADkAAAAQAAAAAAAAAAEAIAAAABQBAABkcnMvc2hhcGV4bWwueG1sUEsFBgAA&#10;AAAGAAYAWwEAAL4DAAAAAA==&#10;">
                    <v:fill on="f" focussize="0,0"/>
                    <v:stroke color="#000000" joinstyle="round"/>
                    <v:imagedata o:title=""/>
                    <o:lock v:ext="edit" aspectratio="f"/>
                  </v:line>
                  <v:line id="直接连接符 8" o:spid="_x0000_s1026" o:spt="20" style="position:absolute;left:4951;top:33;height:0;width:2996;" filled="f" stroked="t" coordsize="21600,21600" o:gfxdata="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jQ4&#10;csEAAADi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6" o:spid="_x0000_s1026" o:spt="20" style="position:absolute;left:10341;top:46;height:0;width:1382;" filled="f" stroked="t" coordsize="21600,21600" o:gfxdata="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VtHyM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group>
                <v:group id="组合 11" o:spid="_x0000_s1026" o:spt="203" style="position:absolute;left:4951;top:571;height:8072;width:25448;" coordorigin="4761,571" coordsize="25447,8071" o:gfxdata="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">
                  <o:lock v:ext="edit" aspectratio="f"/>
                  <v:line id="直接连接符 14" o:spid="_x0000_s1026" o:spt="20" style="position:absolute;left:6235;top:2045;height:4669;width:0;" filled="f" stroked="t" coordsize="21600,21600" o:gfxdata="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E/hptsQAAADj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5" o:spid="_x0000_s1026" o:spt="20" style="position:absolute;left:8919;top:2074;height:3302;width:37;" filled="f" stroked="t" coordsize="21600,21600" o:gfxdata="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t+i0vcQAAADiAAAADwAAAAAAAAABACAAAAAiAAAAZHJzL2Rvd25yZXYueG1sUEsBAhQAFAAAAAgA&#10;h07iQDMvBZ47AAAAOQAAABAAAAAAAAAAAQAgAAAAEwEAAGRycy9zaGFwZXhtbC54bWxQSwUGAAAA&#10;AAYABgBbAQAAvQMAAAAA&#10;">
                    <v:fill on="f" focussize="0,0"/>
                    <v:stroke color="#000000" joinstyle="round"/>
                    <v:imagedata o:title=""/>
                    <o:lock v:ext="edit" aspectratio="f"/>
                  </v:line>
                  <v:line id="直接连接符 16" o:spid="_x0000_s1026" o:spt="20" style="position:absolute;left:8956;top:5378;flip:y;height:1;width:9297;" filled="f" stroked="t" coordsize="21600,21600" o:gfxdata="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x+0&#10;hc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line id="直接连接符 17" o:spid="_x0000_s1026" o:spt="20" style="position:absolute;left:6235;top:6687;height:30;width:12018;" filled="f" stroked="t" coordsize="21600,21600" o:gfxdata="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KJo&#10;QE3CAAAA4wAAAA8AAAAAAAAAAQAgAAAAIgAAAGRycy9kb3ducmV2LnhtbFBLAQIUABQAAAAIAIdO&#10;4kAzLwWeOwAAADkAAAAQAAAAAAAAAAEAIAAAABEBAABkcnMvc2hhcGV4bWwueG1sUEsFBgAAAAAG&#10;AAYAWwEAALsDAAAAAA==&#10;">
                    <v:fill on="f" focussize="0,0"/>
                    <v:stroke color="#000000" joinstyle="round"/>
                    <v:imagedata o:title=""/>
                    <o:lock v:ext="edit" aspectratio="f"/>
                  </v:line>
                  <v:shape id="Text Box 61" o:spid="_x0000_s1026" o:spt="202" type="#_x0000_t202" style="position:absolute;left:4761;top:571;height:1238;width:2996;v-text-anchor:middle;" fillcolor="#FFFFFF" filled="t" stroked="t" coordsize="21600,21600" o:gfxdata="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XZz+/&#10;AAAA4g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0mm,0mm,0mm,0mm">
                      <w:txbxContent>
                        <w:p w14:paraId="5D7A93A4">
                          <w:pPr>
                            <w:ind w:firstLine="300"/>
                            <w:jc w:val="center"/>
                            <w:rPr>
                              <w:sz w:val="15"/>
                            </w:rPr>
                          </w:pPr>
                        </w:p>
                      </w:txbxContent>
                    </v:textbox>
                  </v:shape>
                  <v:shape id="Text Box 62" o:spid="_x0000_s1026" o:spt="202" type="#_x0000_t202" style="position:absolute;left:8289;top:571;height:1238;width:1334;v-text-anchor:middle;" fillcolor="#FFFFFF" filled="t" stroked="t" coordsize="21600,21600" o:gfxdata="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5sg&#10;B8EAAADjAAAADwAAAAAAAAABACAAAAAiAAAAZHJzL2Rvd25yZXYueG1sUEsBAhQAFAAAAAgAh07i&#10;QDMvBZ47AAAAOQAAABAAAAAAAAAAAQAgAAAAEAEAAGRycy9zaGFwZXhtbC54bWxQSwUGAAAAAAYA&#10;BgBbAQAAugMAAAAA&#10;">
                    <v:fill on="t" focussize="0,0"/>
                    <v:stroke color="#000000" miterlimit="8" joinstyle="miter"/>
                    <v:imagedata o:title=""/>
                    <o:lock v:ext="edit" aspectratio="f"/>
                    <v:textbox inset="0mm,0mm,0mm,0mm">
                      <w:txbxContent>
                        <w:p w14:paraId="17A4D32A">
                          <w:pPr>
                            <w:ind w:firstLine="300"/>
                            <w:jc w:val="center"/>
                            <w:rPr>
                              <w:sz w:val="15"/>
                            </w:rPr>
                          </w:pPr>
                        </w:p>
                      </w:txbxContent>
                    </v:textbox>
                  </v:shape>
                  <v:shape id="Text Box 63" o:spid="_x0000_s1026" o:spt="202" type="#_x0000_t202" style="position:absolute;left:18028;top:2802;height:5840;width:12180;" filled="f" stroked="f" coordsize="21600,21600" o:gfxdata="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1ogfvQAA&#10;AOA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3078B88">
                          <w:pPr>
                            <w:autoSpaceDE w:val="0"/>
                            <w:autoSpaceDN w:val="0"/>
                            <w:spacing w:line="320" w:lineRule="exact"/>
                            <w:jc w:val="left"/>
                            <w:rPr>
                              <w:rFonts w:hint="eastAsia" w:ascii="宋体" w:hAnsi="宋体"/>
                              <w:szCs w:val="21"/>
                            </w:rPr>
                          </w:pPr>
                        </w:p>
                        <w:p w14:paraId="0380CF87">
                          <w:pPr>
                            <w:autoSpaceDE w:val="0"/>
                            <w:autoSpaceDN w:val="0"/>
                            <w:spacing w:line="440" w:lineRule="exact"/>
                            <w:jc w:val="left"/>
                            <w:rPr>
                              <w:rFonts w:hint="eastAsia" w:cs="宋体" w:asciiTheme="minorEastAsia" w:hAnsiTheme="minorEastAsia" w:eastAsiaTheme="minorEastAsia"/>
                              <w:bCs/>
                            </w:rPr>
                          </w:pPr>
                          <w:r>
                            <w:rPr>
                              <w:rFonts w:hint="eastAsia" w:ascii="宋体" w:hAnsi="宋体"/>
                              <w:szCs w:val="21"/>
                            </w:rPr>
                            <w:t>网带宽度</w:t>
                          </w:r>
                          <w:r>
                            <w:rPr>
                              <w:rFonts w:hint="eastAsia" w:hAnsi="宋体" w:cs="宋体"/>
                              <w:bCs/>
                            </w:rPr>
                            <w:t>代号</w:t>
                          </w:r>
                          <w:r>
                            <w:rPr>
                              <w:rFonts w:hint="eastAsia" w:cs="宋体" w:asciiTheme="minorEastAsia" w:hAnsiTheme="minorEastAsia" w:eastAsiaTheme="minorEastAsia"/>
                              <w:bCs/>
                            </w:rPr>
                            <w:t>，单位：mm</w:t>
                          </w:r>
                        </w:p>
                        <w:p w14:paraId="7FA62FE7">
                          <w:pPr>
                            <w:autoSpaceDE w:val="0"/>
                            <w:autoSpaceDN w:val="0"/>
                            <w:spacing w:line="440" w:lineRule="exact"/>
                            <w:jc w:val="left"/>
                            <w:rPr>
                              <w:rFonts w:hint="eastAsia" w:cs="宋体" w:asciiTheme="minorEastAsia" w:hAnsiTheme="minorEastAsia" w:eastAsiaTheme="minorEastAsia"/>
                              <w:bCs/>
                            </w:rPr>
                          </w:pPr>
                          <w:r>
                            <w:rPr>
                              <w:rFonts w:hint="eastAsia" w:asciiTheme="minorEastAsia" w:hAnsiTheme="minorEastAsia" w:eastAsiaTheme="minorEastAsia"/>
                              <w:color w:val="000000"/>
                              <w:szCs w:val="21"/>
                            </w:rPr>
                            <w:t>上粉</w:t>
                          </w:r>
                          <w:r>
                            <w:rPr>
                              <w:rFonts w:hint="eastAsia" w:asciiTheme="minorEastAsia" w:hAnsiTheme="minorEastAsia" w:eastAsiaTheme="minorEastAsia"/>
                              <w:szCs w:val="21"/>
                            </w:rPr>
                            <w:t>方式</w:t>
                          </w:r>
                          <w:r>
                            <w:rPr>
                              <w:rFonts w:hint="eastAsia" w:cs="宋体" w:asciiTheme="minorEastAsia" w:hAnsiTheme="minorEastAsia" w:eastAsiaTheme="minorEastAsia"/>
                              <w:bCs/>
                            </w:rPr>
                            <w:t>代号，P、G</w:t>
                          </w:r>
                        </w:p>
                        <w:p w14:paraId="2588A429">
                          <w:pPr>
                            <w:autoSpaceDE w:val="0"/>
                            <w:autoSpaceDN w:val="0"/>
                            <w:spacing w:before="156" w:beforeLines="50" w:line="440" w:lineRule="exact"/>
                            <w:jc w:val="left"/>
                            <w:rPr>
                              <w:rFonts w:hint="eastAsia" w:cs="宋体" w:asciiTheme="minorEastAsia" w:hAnsiTheme="minorEastAsia" w:eastAsiaTheme="minorEastAsia"/>
                              <w:bCs/>
                            </w:rPr>
                          </w:pPr>
                          <w:r>
                            <w:rPr>
                              <w:rFonts w:hint="eastAsia" w:cs="宋体" w:asciiTheme="minorEastAsia" w:hAnsiTheme="minorEastAsia" w:eastAsiaTheme="minorEastAsia"/>
                              <w:kern w:val="0"/>
                              <w:highlight w:val="none"/>
                            </w:rPr>
                            <w:t>主要名称代</w:t>
                          </w:r>
                          <w:r>
                            <w:rPr>
                              <w:rFonts w:hint="eastAsia" w:cs="宋体" w:asciiTheme="minorEastAsia" w:hAnsiTheme="minorEastAsia" w:eastAsiaTheme="minorEastAsia"/>
                              <w:kern w:val="0"/>
                            </w:rPr>
                            <w:t>号，SFJ</w:t>
                          </w:r>
                        </w:p>
                      </w:txbxContent>
                    </v:textbox>
                  </v:shape>
                  <v:line id="直接连接符 16" o:spid="_x0000_s1026" o:spt="20" style="position:absolute;left:10756;top:4225;flip:y;height:53;width:7497;" filled="f" stroked="t" coordsize="21600,21600" o:gfxdata="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7/I5&#10;JM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shape id="Text Box 62" o:spid="_x0000_s1026" o:spt="202" type="#_x0000_t202" style="position:absolute;left:10151;top:571;height:1238;width:1334;v-text-anchor:middle;" fillcolor="#FFFFFF" filled="t" stroked="t" coordsize="21600,21600" o:gfxdata="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2zivQAA&#10;AOM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inset="0mm,0mm,0mm,0mm">
                      <w:txbxContent>
                        <w:p w14:paraId="747CB1DE">
                          <w:pPr>
                            <w:ind w:firstLine="300"/>
                            <w:jc w:val="center"/>
                            <w:rPr>
                              <w:sz w:val="15"/>
                            </w:rPr>
                          </w:pPr>
                        </w:p>
                      </w:txbxContent>
                    </v:textbox>
                  </v:shape>
                  <v:line id="直接连接符 15" o:spid="_x0000_s1026" o:spt="20" style="position:absolute;left:10780;top:2002;height:2274;width:0;" filled="f" stroked="t" coordsize="21600,21600" o:gfxdata="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SVx&#10;q8EAAADjAAAADwAAAAAAAAABACAAAAAiAAAAZHJzL2Rvd25yZXYueG1sUEsBAhQAFAAAAAgAh07i&#10;QDMvBZ47AAAAOQAAABAAAAAAAAAAAQAgAAAAEAEAAGRycy9zaGFwZXhtbC54bWxQSwUGAAAAAAYA&#10;BgBbAQAAugMAAAAA&#10;">
                    <v:fill on="f" focussize="0,0"/>
                    <v:stroke color="#000000" joinstyle="round"/>
                    <v:imagedata o:title=""/>
                    <o:lock v:ext="edit" aspectratio="f"/>
                  </v:line>
                </v:group>
                <w10:wrap type="none"/>
                <w10:anchorlock/>
              </v:group>
            </w:pict>
          </mc:Fallback>
        </mc:AlternateContent>
      </w:r>
    </w:p>
    <w:p w14:paraId="141C1762">
      <w:pPr>
        <w:pStyle w:val="8"/>
        <w:jc w:val="center"/>
        <w:rPr>
          <w:rFonts w:hint="eastAsia" w:ascii="黑体" w:hAnsi="黑体" w:cs="黑体"/>
          <w:kern w:val="0"/>
          <w:sz w:val="21"/>
          <w:szCs w:val="21"/>
          <w:highlight w:val="none"/>
        </w:rPr>
      </w:pPr>
      <w:r>
        <w:rPr>
          <w:rFonts w:hint="eastAsia"/>
          <w:highlight w:val="none"/>
        </w:rPr>
        <w:t xml:space="preserve">图 </w:t>
      </w:r>
      <w:r>
        <w:rPr>
          <w:highlight w:val="none"/>
        </w:rPr>
        <w:fldChar w:fldCharType="begin"/>
      </w:r>
      <w:r>
        <w:rPr>
          <w:highlight w:val="none"/>
        </w:rPr>
        <w:instrText xml:space="preserve"> </w:instrText>
      </w:r>
      <w:r>
        <w:rPr>
          <w:rFonts w:hint="eastAsia"/>
          <w:highlight w:val="none"/>
        </w:rPr>
        <w:instrText xml:space="preserve">SEQ 图 \* ARABIC</w:instrText>
      </w:r>
      <w:r>
        <w:rPr>
          <w:highlight w:val="none"/>
        </w:rPr>
        <w:instrText xml:space="preserve"> </w:instrText>
      </w:r>
      <w:r>
        <w:rPr>
          <w:highlight w:val="none"/>
        </w:rPr>
        <w:fldChar w:fldCharType="separate"/>
      </w:r>
      <w:r>
        <w:rPr>
          <w:rFonts w:hint="eastAsia"/>
          <w:highlight w:val="none"/>
        </w:rPr>
        <w:t>1</w:t>
      </w:r>
      <w:r>
        <w:rPr>
          <w:highlight w:val="none"/>
        </w:rPr>
        <w:fldChar w:fldCharType="end"/>
      </w:r>
      <w:bookmarkStart w:id="90" w:name="_Toc26547"/>
      <w:r>
        <w:rPr>
          <w:rFonts w:hint="eastAsia" w:ascii="黑体" w:hAnsi="黑体"/>
          <w:sz w:val="21"/>
          <w:szCs w:val="21"/>
          <w:highlight w:val="none"/>
        </w:rPr>
        <w:t xml:space="preserve"> 上粉机</w:t>
      </w:r>
      <w:r>
        <w:rPr>
          <w:rFonts w:ascii="黑体" w:hAnsi="黑体"/>
          <w:sz w:val="21"/>
          <w:szCs w:val="21"/>
          <w:highlight w:val="none"/>
        </w:rPr>
        <w:t>型号编制方法</w:t>
      </w:r>
      <w:bookmarkEnd w:id="90"/>
    </w:p>
    <w:p w14:paraId="14B9B3E4">
      <w:pPr>
        <w:ind w:firstLine="360" w:firstLineChars="200"/>
        <w:rPr>
          <w:rFonts w:hint="eastAsia" w:ascii="黑体" w:hAnsi="黑体" w:eastAsia="黑体" w:cs="黑体"/>
          <w:kern w:val="0"/>
          <w:sz w:val="18"/>
          <w:szCs w:val="18"/>
          <w:highlight w:val="none"/>
        </w:rPr>
      </w:pPr>
      <w:r>
        <w:rPr>
          <w:rFonts w:hint="eastAsia" w:ascii="黑体" w:hAnsi="黑体" w:eastAsia="黑体" w:cs="黑体"/>
          <w:kern w:val="0"/>
          <w:sz w:val="18"/>
          <w:szCs w:val="18"/>
          <w:highlight w:val="none"/>
        </w:rPr>
        <w:t>示例：</w:t>
      </w:r>
    </w:p>
    <w:p w14:paraId="3336E887">
      <w:pPr>
        <w:pStyle w:val="175"/>
        <w:ind w:firstLine="360"/>
        <w:rPr>
          <w:rFonts w:hint="eastAsia" w:ascii="宋体" w:hAnsi="宋体"/>
          <w:kern w:val="0"/>
          <w:sz w:val="18"/>
          <w:szCs w:val="18"/>
          <w:highlight w:val="none"/>
        </w:rPr>
      </w:pPr>
      <w:r>
        <w:rPr>
          <w:rFonts w:hint="eastAsia" w:ascii="宋体" w:hAnsi="宋体"/>
          <w:kern w:val="0"/>
          <w:sz w:val="18"/>
          <w:szCs w:val="18"/>
          <w:highlight w:val="none"/>
        </w:rPr>
        <w:t>SFJ</w:t>
      </w:r>
      <w:r>
        <w:rPr>
          <w:rFonts w:ascii="宋体" w:hAnsi="宋体"/>
          <w:kern w:val="0"/>
          <w:sz w:val="18"/>
          <w:szCs w:val="18"/>
          <w:highlight w:val="none"/>
        </w:rPr>
        <w:t>-</w:t>
      </w:r>
      <w:r>
        <w:rPr>
          <w:rFonts w:hint="eastAsia" w:ascii="宋体" w:hAnsi="宋体"/>
          <w:kern w:val="0"/>
          <w:sz w:val="18"/>
          <w:szCs w:val="18"/>
          <w:highlight w:val="none"/>
        </w:rPr>
        <w:t>P</w:t>
      </w:r>
      <w:r>
        <w:rPr>
          <w:rFonts w:ascii="宋体" w:hAnsi="宋体"/>
          <w:kern w:val="0"/>
          <w:sz w:val="18"/>
          <w:szCs w:val="18"/>
          <w:highlight w:val="none"/>
        </w:rPr>
        <w:t>-</w:t>
      </w:r>
      <w:r>
        <w:rPr>
          <w:rFonts w:hint="eastAsia" w:ascii="宋体" w:hAnsi="宋体"/>
          <w:kern w:val="0"/>
          <w:sz w:val="18"/>
          <w:szCs w:val="18"/>
          <w:highlight w:val="none"/>
        </w:rPr>
        <w:t>6</w:t>
      </w:r>
      <w:r>
        <w:rPr>
          <w:rFonts w:ascii="宋体" w:hAnsi="宋体"/>
          <w:kern w:val="0"/>
          <w:sz w:val="18"/>
          <w:szCs w:val="18"/>
          <w:highlight w:val="none"/>
        </w:rPr>
        <w:t>00，表示</w:t>
      </w:r>
      <w:r>
        <w:rPr>
          <w:rFonts w:hint="eastAsia" w:ascii="宋体" w:hAnsi="宋体"/>
          <w:kern w:val="0"/>
          <w:sz w:val="18"/>
          <w:szCs w:val="18"/>
          <w:highlight w:val="none"/>
        </w:rPr>
        <w:t>网带宽度</w:t>
      </w:r>
      <w:r>
        <w:rPr>
          <w:rFonts w:ascii="宋体" w:hAnsi="宋体"/>
          <w:kern w:val="0"/>
          <w:sz w:val="18"/>
          <w:szCs w:val="18"/>
          <w:highlight w:val="none"/>
        </w:rPr>
        <w:t>为</w:t>
      </w:r>
      <w:r>
        <w:rPr>
          <w:rFonts w:hint="eastAsia" w:ascii="宋体" w:hAnsi="宋体"/>
          <w:kern w:val="0"/>
          <w:sz w:val="18"/>
          <w:szCs w:val="18"/>
          <w:highlight w:val="none"/>
        </w:rPr>
        <w:t>600</w:t>
      </w:r>
      <w:r>
        <w:rPr>
          <w:rFonts w:ascii="宋体" w:hAnsi="宋体"/>
          <w:kern w:val="0"/>
          <w:sz w:val="18"/>
          <w:szCs w:val="18"/>
          <w:highlight w:val="none"/>
        </w:rPr>
        <w:t xml:space="preserve"> </w:t>
      </w:r>
      <w:r>
        <w:rPr>
          <w:rFonts w:hint="eastAsia" w:ascii="宋体" w:hAnsi="宋体"/>
          <w:kern w:val="0"/>
          <w:sz w:val="18"/>
          <w:szCs w:val="18"/>
          <w:highlight w:val="none"/>
        </w:rPr>
        <w:t>mm</w:t>
      </w:r>
      <w:r>
        <w:rPr>
          <w:rFonts w:ascii="宋体" w:hAnsi="宋体"/>
          <w:kern w:val="0"/>
          <w:sz w:val="18"/>
          <w:szCs w:val="18"/>
          <w:highlight w:val="none"/>
        </w:rPr>
        <w:t>的</w:t>
      </w:r>
      <w:r>
        <w:rPr>
          <w:rFonts w:hint="eastAsia" w:ascii="宋体" w:hAnsi="宋体"/>
          <w:kern w:val="0"/>
          <w:sz w:val="18"/>
          <w:szCs w:val="18"/>
          <w:highlight w:val="none"/>
        </w:rPr>
        <w:t>平板式上粉机</w:t>
      </w:r>
      <w:r>
        <w:rPr>
          <w:rFonts w:ascii="宋体" w:hAnsi="宋体"/>
          <w:kern w:val="0"/>
          <w:sz w:val="18"/>
          <w:szCs w:val="18"/>
          <w:highlight w:val="none"/>
        </w:rPr>
        <w:t>。</w:t>
      </w:r>
    </w:p>
    <w:p w14:paraId="5C834D72">
      <w:pPr>
        <w:pStyle w:val="175"/>
        <w:ind w:firstLine="360"/>
        <w:rPr>
          <w:rFonts w:hint="eastAsia" w:ascii="宋体" w:hAnsi="宋体"/>
          <w:kern w:val="0"/>
          <w:sz w:val="18"/>
          <w:szCs w:val="18"/>
          <w:highlight w:val="none"/>
        </w:rPr>
      </w:pPr>
      <w:r>
        <w:rPr>
          <w:rFonts w:hint="eastAsia" w:ascii="宋体" w:hAnsi="宋体"/>
          <w:kern w:val="0"/>
          <w:sz w:val="18"/>
          <w:szCs w:val="18"/>
          <w:highlight w:val="none"/>
        </w:rPr>
        <w:t>SFJ</w:t>
      </w:r>
      <w:r>
        <w:rPr>
          <w:rFonts w:ascii="宋体" w:hAnsi="宋体"/>
          <w:kern w:val="0"/>
          <w:sz w:val="18"/>
          <w:szCs w:val="18"/>
          <w:highlight w:val="none"/>
        </w:rPr>
        <w:t>-</w:t>
      </w:r>
      <w:r>
        <w:rPr>
          <w:rFonts w:hint="eastAsia" w:ascii="宋体" w:hAnsi="宋体"/>
          <w:kern w:val="0"/>
          <w:sz w:val="18"/>
          <w:szCs w:val="18"/>
          <w:highlight w:val="none"/>
        </w:rPr>
        <w:t>G</w:t>
      </w:r>
      <w:r>
        <w:rPr>
          <w:rFonts w:ascii="宋体" w:hAnsi="宋体"/>
          <w:kern w:val="0"/>
          <w:sz w:val="18"/>
          <w:szCs w:val="18"/>
          <w:highlight w:val="none"/>
        </w:rPr>
        <w:t>-</w:t>
      </w:r>
      <w:r>
        <w:rPr>
          <w:rFonts w:hint="eastAsia" w:ascii="宋体" w:hAnsi="宋体"/>
          <w:kern w:val="0"/>
          <w:sz w:val="18"/>
          <w:szCs w:val="18"/>
          <w:highlight w:val="none"/>
        </w:rPr>
        <w:t>6</w:t>
      </w:r>
      <w:r>
        <w:rPr>
          <w:rFonts w:ascii="宋体" w:hAnsi="宋体"/>
          <w:kern w:val="0"/>
          <w:sz w:val="18"/>
          <w:szCs w:val="18"/>
          <w:highlight w:val="none"/>
        </w:rPr>
        <w:t>00，表示</w:t>
      </w:r>
      <w:r>
        <w:rPr>
          <w:rFonts w:hint="eastAsia" w:ascii="宋体" w:hAnsi="宋体"/>
          <w:kern w:val="0"/>
          <w:sz w:val="18"/>
          <w:szCs w:val="18"/>
          <w:highlight w:val="none"/>
        </w:rPr>
        <w:t>网带宽度</w:t>
      </w:r>
      <w:r>
        <w:rPr>
          <w:rFonts w:ascii="宋体" w:hAnsi="宋体"/>
          <w:kern w:val="0"/>
          <w:sz w:val="18"/>
          <w:szCs w:val="18"/>
          <w:highlight w:val="none"/>
        </w:rPr>
        <w:t>为</w:t>
      </w:r>
      <w:r>
        <w:rPr>
          <w:rFonts w:hint="eastAsia" w:ascii="宋体" w:hAnsi="宋体"/>
          <w:kern w:val="0"/>
          <w:sz w:val="18"/>
          <w:szCs w:val="18"/>
          <w:highlight w:val="none"/>
        </w:rPr>
        <w:t>600</w:t>
      </w:r>
      <w:r>
        <w:rPr>
          <w:rFonts w:ascii="宋体" w:hAnsi="宋体"/>
          <w:kern w:val="0"/>
          <w:sz w:val="18"/>
          <w:szCs w:val="18"/>
          <w:highlight w:val="none"/>
        </w:rPr>
        <w:t xml:space="preserve"> </w:t>
      </w:r>
      <w:r>
        <w:rPr>
          <w:rFonts w:hint="eastAsia" w:ascii="宋体" w:hAnsi="宋体"/>
          <w:kern w:val="0"/>
          <w:sz w:val="18"/>
          <w:szCs w:val="18"/>
          <w:highlight w:val="none"/>
        </w:rPr>
        <w:t>mm</w:t>
      </w:r>
      <w:r>
        <w:rPr>
          <w:rFonts w:ascii="宋体" w:hAnsi="宋体"/>
          <w:kern w:val="0"/>
          <w:sz w:val="18"/>
          <w:szCs w:val="18"/>
          <w:highlight w:val="none"/>
        </w:rPr>
        <w:t>的</w:t>
      </w:r>
      <w:r>
        <w:rPr>
          <w:rFonts w:hint="eastAsia" w:ascii="宋体" w:hAnsi="宋体"/>
          <w:kern w:val="0"/>
          <w:sz w:val="18"/>
          <w:szCs w:val="18"/>
          <w:highlight w:val="none"/>
        </w:rPr>
        <w:t>滚筒式上粉机</w:t>
      </w:r>
      <w:r>
        <w:rPr>
          <w:rFonts w:ascii="宋体" w:hAnsi="宋体"/>
          <w:kern w:val="0"/>
          <w:sz w:val="18"/>
          <w:szCs w:val="18"/>
          <w:highlight w:val="none"/>
        </w:rPr>
        <w:t>。</w:t>
      </w:r>
    </w:p>
    <w:p w14:paraId="343EF66A">
      <w:pPr>
        <w:pStyle w:val="173"/>
        <w:numPr>
          <w:ilvl w:val="1"/>
          <w:numId w:val="18"/>
        </w:numPr>
        <w:spacing w:line="240" w:lineRule="auto"/>
        <w:jc w:val="both"/>
        <w:rPr>
          <w:highlight w:val="none"/>
        </w:rPr>
      </w:pPr>
      <w:bookmarkStart w:id="91" w:name="_Toc186914335"/>
      <w:bookmarkEnd w:id="91"/>
      <w:bookmarkStart w:id="92" w:name="_Toc186914334"/>
      <w:bookmarkEnd w:id="92"/>
      <w:bookmarkStart w:id="93" w:name="_Toc186914332"/>
      <w:bookmarkEnd w:id="93"/>
      <w:bookmarkStart w:id="94" w:name="_Toc186914333"/>
      <w:bookmarkEnd w:id="94"/>
      <w:bookmarkStart w:id="95" w:name="_Toc186914341"/>
      <w:bookmarkEnd w:id="95"/>
      <w:bookmarkStart w:id="96" w:name="_Toc196241126"/>
      <w:bookmarkEnd w:id="96"/>
      <w:bookmarkStart w:id="97" w:name="_Toc186914343"/>
      <w:bookmarkEnd w:id="97"/>
      <w:bookmarkStart w:id="98" w:name="_Toc186914336"/>
      <w:bookmarkEnd w:id="98"/>
      <w:bookmarkStart w:id="99" w:name="_Toc186914340"/>
      <w:bookmarkEnd w:id="99"/>
      <w:bookmarkStart w:id="100" w:name="_Toc186914339"/>
      <w:bookmarkEnd w:id="100"/>
      <w:bookmarkStart w:id="101" w:name="_Toc186914346"/>
      <w:bookmarkEnd w:id="101"/>
      <w:bookmarkStart w:id="102" w:name="_Toc186914330"/>
      <w:bookmarkEnd w:id="102"/>
      <w:bookmarkStart w:id="103" w:name="_Toc186914338"/>
      <w:bookmarkEnd w:id="103"/>
      <w:bookmarkStart w:id="104" w:name="_Toc186914344"/>
      <w:bookmarkEnd w:id="104"/>
      <w:bookmarkStart w:id="105" w:name="_Toc196241125"/>
      <w:bookmarkEnd w:id="105"/>
      <w:bookmarkStart w:id="106" w:name="_Toc186914342"/>
      <w:bookmarkEnd w:id="106"/>
      <w:bookmarkStart w:id="107" w:name="_Toc186914331"/>
      <w:bookmarkEnd w:id="107"/>
      <w:bookmarkStart w:id="108" w:name="_Toc186914337"/>
      <w:bookmarkEnd w:id="108"/>
      <w:bookmarkStart w:id="109" w:name="_Toc824"/>
      <w:bookmarkStart w:id="110" w:name="_Toc16391"/>
      <w:bookmarkStart w:id="111" w:name="_Toc2742"/>
      <w:bookmarkStart w:id="112" w:name="_Toc45616756"/>
      <w:bookmarkStart w:id="113" w:name="_Toc21110895"/>
      <w:bookmarkStart w:id="114" w:name="_Toc144801474"/>
      <w:bookmarkStart w:id="115" w:name="_Toc498677539"/>
      <w:bookmarkStart w:id="116" w:name="_Toc139898225"/>
      <w:bookmarkStart w:id="117" w:name="_Toc22888903"/>
      <w:r>
        <w:rPr>
          <w:highlight w:val="none"/>
        </w:rPr>
        <w:t>技术要求</w:t>
      </w:r>
      <w:bookmarkEnd w:id="109"/>
      <w:bookmarkEnd w:id="110"/>
      <w:bookmarkEnd w:id="111"/>
    </w:p>
    <w:p w14:paraId="6E801ED7">
      <w:pPr>
        <w:widowControl/>
        <w:numPr>
          <w:ilvl w:val="2"/>
          <w:numId w:val="18"/>
        </w:numPr>
        <w:spacing w:before="156" w:beforeLines="50" w:after="156" w:afterLines="50"/>
        <w:outlineLvl w:val="1"/>
        <w:rPr>
          <w:rFonts w:ascii="黑体" w:eastAsia="黑体"/>
          <w:kern w:val="0"/>
          <w:szCs w:val="21"/>
          <w:highlight w:val="none"/>
        </w:rPr>
      </w:pPr>
      <w:bookmarkStart w:id="118" w:name="_Toc8543"/>
      <w:bookmarkStart w:id="119" w:name="_Toc196238728"/>
      <w:r>
        <w:rPr>
          <w:rFonts w:hint="eastAsia" w:ascii="黑体" w:eastAsia="黑体"/>
          <w:kern w:val="0"/>
          <w:szCs w:val="21"/>
          <w:highlight w:val="none"/>
        </w:rPr>
        <w:t>材料要求</w:t>
      </w:r>
      <w:bookmarkEnd w:id="118"/>
      <w:bookmarkEnd w:id="119"/>
    </w:p>
    <w:p w14:paraId="442C123F">
      <w:pPr>
        <w:pStyle w:val="155"/>
        <w:numPr>
          <w:ilvl w:val="3"/>
          <w:numId w:val="19"/>
        </w:numPr>
        <w:tabs>
          <w:tab w:val="clear" w:pos="0"/>
        </w:tabs>
        <w:outlineLvl w:val="2"/>
        <w:rPr>
          <w:rFonts w:hint="eastAsia"/>
          <w:kern w:val="0"/>
          <w:highlight w:val="none"/>
        </w:rPr>
      </w:pPr>
      <w:bookmarkStart w:id="120" w:name="_Toc30463"/>
      <w:bookmarkStart w:id="121" w:name="_Toc234307552"/>
      <w:bookmarkStart w:id="122" w:name="_Toc13497"/>
      <w:r>
        <w:rPr>
          <w:rFonts w:hint="eastAsia"/>
          <w:highlight w:val="none"/>
        </w:rPr>
        <w:t>上粉机</w:t>
      </w:r>
      <w:r>
        <w:rPr>
          <w:kern w:val="0"/>
          <w:highlight w:val="none"/>
        </w:rPr>
        <w:t>材料的选择和装置结构要求</w:t>
      </w:r>
      <w:r>
        <w:rPr>
          <w:rFonts w:hint="eastAsia"/>
          <w:kern w:val="0"/>
          <w:highlight w:val="none"/>
        </w:rPr>
        <w:t>应符合GB 16798的规定。</w:t>
      </w:r>
      <w:bookmarkEnd w:id="120"/>
      <w:bookmarkEnd w:id="121"/>
      <w:bookmarkEnd w:id="122"/>
    </w:p>
    <w:p w14:paraId="69C4C357">
      <w:pPr>
        <w:pStyle w:val="155"/>
        <w:numPr>
          <w:ilvl w:val="3"/>
          <w:numId w:val="19"/>
        </w:numPr>
        <w:tabs>
          <w:tab w:val="clear" w:pos="0"/>
        </w:tabs>
        <w:outlineLvl w:val="2"/>
        <w:rPr>
          <w:rFonts w:hint="eastAsia"/>
          <w:kern w:val="0"/>
          <w:highlight w:val="none"/>
        </w:rPr>
      </w:pPr>
      <w:bookmarkStart w:id="123" w:name="_Toc234307553"/>
      <w:bookmarkStart w:id="124" w:name="_Toc28869"/>
      <w:bookmarkStart w:id="125" w:name="_Toc12268"/>
      <w:r>
        <w:rPr>
          <w:rFonts w:hint="eastAsia"/>
          <w:highlight w:val="none"/>
        </w:rPr>
        <w:t>上粉机</w:t>
      </w:r>
      <w:r>
        <w:rPr>
          <w:rFonts w:hint="eastAsia"/>
          <w:kern w:val="0"/>
          <w:highlight w:val="none"/>
        </w:rPr>
        <w:t>所用的原材料、</w:t>
      </w:r>
      <w:r>
        <w:rPr>
          <w:kern w:val="0"/>
          <w:highlight w:val="none"/>
        </w:rPr>
        <w:t>外购件和外协件</w:t>
      </w:r>
      <w:r>
        <w:rPr>
          <w:rFonts w:hint="eastAsia"/>
          <w:kern w:val="0"/>
          <w:highlight w:val="none"/>
        </w:rPr>
        <w:t>应符合使用要求，应有生产厂的质量合格证明书。否则应按产品相关标准验收合格后，方可投入使用。</w:t>
      </w:r>
      <w:bookmarkEnd w:id="123"/>
      <w:bookmarkEnd w:id="124"/>
      <w:bookmarkEnd w:id="125"/>
    </w:p>
    <w:p w14:paraId="3C86D33F">
      <w:pPr>
        <w:widowControl/>
        <w:numPr>
          <w:ilvl w:val="2"/>
          <w:numId w:val="18"/>
        </w:numPr>
        <w:spacing w:before="156" w:beforeLines="50" w:after="156" w:afterLines="50"/>
        <w:outlineLvl w:val="1"/>
        <w:rPr>
          <w:rFonts w:ascii="黑体" w:eastAsia="黑体"/>
          <w:kern w:val="0"/>
          <w:szCs w:val="21"/>
          <w:highlight w:val="none"/>
        </w:rPr>
      </w:pPr>
      <w:bookmarkStart w:id="126" w:name="_Toc196238729"/>
      <w:bookmarkStart w:id="127" w:name="_Toc25216"/>
      <w:r>
        <w:rPr>
          <w:rFonts w:hint="eastAsia" w:ascii="黑体" w:eastAsia="黑体"/>
          <w:kern w:val="0"/>
          <w:szCs w:val="21"/>
          <w:highlight w:val="none"/>
        </w:rPr>
        <w:t>加工要求</w:t>
      </w:r>
      <w:bookmarkEnd w:id="126"/>
      <w:bookmarkEnd w:id="127"/>
    </w:p>
    <w:p w14:paraId="1B62EE48">
      <w:pPr>
        <w:widowControl/>
        <w:numPr>
          <w:ilvl w:val="3"/>
          <w:numId w:val="18"/>
        </w:numPr>
        <w:outlineLvl w:val="2"/>
        <w:rPr>
          <w:rFonts w:hint="eastAsia" w:ascii="宋体" w:hAnsi="宋体" w:cs="宋体"/>
          <w:kern w:val="0"/>
          <w:szCs w:val="21"/>
          <w:highlight w:val="none"/>
        </w:rPr>
      </w:pPr>
      <w:bookmarkStart w:id="128" w:name="_Toc234307555"/>
      <w:bookmarkStart w:id="129" w:name="_Toc21095"/>
      <w:bookmarkStart w:id="130" w:name="_Toc14611"/>
      <w:r>
        <w:rPr>
          <w:rFonts w:hint="eastAsia" w:ascii="宋体" w:hAnsi="宋体" w:cs="宋体"/>
          <w:kern w:val="0"/>
          <w:szCs w:val="21"/>
          <w:highlight w:val="none"/>
        </w:rPr>
        <w:t>上粉机零部件的机械加工应符合SB/T 223的规定。</w:t>
      </w:r>
      <w:bookmarkEnd w:id="128"/>
      <w:bookmarkEnd w:id="129"/>
      <w:bookmarkEnd w:id="130"/>
    </w:p>
    <w:p w14:paraId="3D5C0431">
      <w:pPr>
        <w:widowControl/>
        <w:numPr>
          <w:ilvl w:val="3"/>
          <w:numId w:val="18"/>
        </w:numPr>
        <w:outlineLvl w:val="2"/>
        <w:rPr>
          <w:rFonts w:hint="eastAsia" w:ascii="宋体" w:hAnsi="宋体" w:cs="宋体"/>
          <w:kern w:val="0"/>
          <w:szCs w:val="21"/>
          <w:highlight w:val="none"/>
        </w:rPr>
      </w:pPr>
      <w:bookmarkStart w:id="131" w:name="_Toc234307556"/>
      <w:bookmarkStart w:id="132" w:name="_Toc20285"/>
      <w:bookmarkStart w:id="133" w:name="_Toc3385"/>
      <w:r>
        <w:rPr>
          <w:rFonts w:hint="eastAsia" w:ascii="宋体" w:hAnsi="宋体" w:cs="宋体"/>
          <w:kern w:val="0"/>
          <w:szCs w:val="21"/>
          <w:highlight w:val="none"/>
        </w:rPr>
        <w:t>上粉机铸件应符合SB/T 225的规定。</w:t>
      </w:r>
      <w:bookmarkEnd w:id="131"/>
      <w:bookmarkEnd w:id="132"/>
      <w:bookmarkEnd w:id="133"/>
    </w:p>
    <w:p w14:paraId="0E19A2F2">
      <w:pPr>
        <w:widowControl/>
        <w:numPr>
          <w:ilvl w:val="3"/>
          <w:numId w:val="18"/>
        </w:numPr>
        <w:outlineLvl w:val="2"/>
        <w:rPr>
          <w:highlight w:val="none"/>
        </w:rPr>
      </w:pPr>
      <w:bookmarkStart w:id="134" w:name="_Toc14245"/>
      <w:bookmarkStart w:id="135" w:name="_Toc2252"/>
      <w:bookmarkStart w:id="136" w:name="_Toc234307557"/>
      <w:r>
        <w:rPr>
          <w:rFonts w:hint="eastAsia"/>
          <w:highlight w:val="none"/>
        </w:rPr>
        <w:t>上粉机</w:t>
      </w:r>
      <w:r>
        <w:rPr>
          <w:highlight w:val="none"/>
        </w:rPr>
        <w:t>焊接件应符合</w:t>
      </w:r>
      <w:r>
        <w:rPr>
          <w:rFonts w:ascii="宋体" w:hAnsi="宋体" w:cs="宋体"/>
          <w:kern w:val="0"/>
          <w:szCs w:val="21"/>
          <w:highlight w:val="none"/>
        </w:rPr>
        <w:t>SB/T 226</w:t>
      </w:r>
      <w:r>
        <w:rPr>
          <w:highlight w:val="none"/>
        </w:rPr>
        <w:t>的规定</w:t>
      </w:r>
      <w:r>
        <w:rPr>
          <w:rFonts w:hint="eastAsia"/>
          <w:highlight w:val="none"/>
        </w:rPr>
        <w:t>，</w:t>
      </w:r>
      <w:r>
        <w:rPr>
          <w:highlight w:val="none"/>
        </w:rPr>
        <w:t>焊接部位应牢固、可靠。</w:t>
      </w:r>
      <w:bookmarkEnd w:id="134"/>
      <w:bookmarkEnd w:id="135"/>
      <w:bookmarkEnd w:id="136"/>
    </w:p>
    <w:p w14:paraId="088CDAE9">
      <w:pPr>
        <w:widowControl/>
        <w:numPr>
          <w:ilvl w:val="3"/>
          <w:numId w:val="18"/>
        </w:numPr>
        <w:outlineLvl w:val="2"/>
        <w:rPr>
          <w:rFonts w:hint="eastAsia" w:ascii="宋体" w:hAnsi="宋体" w:cs="宋体"/>
          <w:kern w:val="0"/>
          <w:szCs w:val="21"/>
          <w:highlight w:val="none"/>
        </w:rPr>
      </w:pPr>
      <w:bookmarkStart w:id="137" w:name="_Toc234307558"/>
      <w:bookmarkStart w:id="138" w:name="_Toc1914"/>
      <w:bookmarkStart w:id="139" w:name="_Toc19158"/>
      <w:r>
        <w:rPr>
          <w:rFonts w:hint="eastAsia"/>
          <w:highlight w:val="none"/>
        </w:rPr>
        <w:t>上粉机</w:t>
      </w:r>
      <w:r>
        <w:rPr>
          <w:highlight w:val="none"/>
        </w:rPr>
        <w:t>与食品直接接触</w:t>
      </w:r>
      <w:r>
        <w:rPr>
          <w:rFonts w:ascii="宋体" w:hAnsi="宋体" w:cs="宋体"/>
          <w:kern w:val="0"/>
          <w:szCs w:val="21"/>
          <w:highlight w:val="none"/>
        </w:rPr>
        <w:t>区域焊接所用的焊条、焊丝的材质应与基体材质一致</w:t>
      </w:r>
      <w:r>
        <w:rPr>
          <w:rFonts w:hint="eastAsia" w:ascii="宋体" w:hAnsi="宋体" w:cs="宋体"/>
          <w:kern w:val="0"/>
          <w:szCs w:val="21"/>
          <w:highlight w:val="none"/>
        </w:rPr>
        <w:t>或高于基体材质。</w:t>
      </w:r>
      <w:bookmarkEnd w:id="137"/>
      <w:bookmarkEnd w:id="138"/>
      <w:bookmarkEnd w:id="139"/>
    </w:p>
    <w:p w14:paraId="1EB6CA94">
      <w:pPr>
        <w:widowControl/>
        <w:numPr>
          <w:ilvl w:val="3"/>
          <w:numId w:val="18"/>
        </w:numPr>
        <w:outlineLvl w:val="2"/>
        <w:rPr>
          <w:rFonts w:hint="eastAsia" w:ascii="宋体" w:hAnsi="宋体" w:cs="宋体"/>
          <w:kern w:val="0"/>
          <w:szCs w:val="21"/>
          <w:highlight w:val="none"/>
        </w:rPr>
      </w:pPr>
      <w:bookmarkStart w:id="140" w:name="_Toc8096"/>
      <w:bookmarkStart w:id="141" w:name="_Toc234307559"/>
      <w:bookmarkStart w:id="142" w:name="_Toc31685"/>
      <w:r>
        <w:rPr>
          <w:rFonts w:hint="eastAsia" w:ascii="宋体" w:hAnsi="宋体" w:cs="宋体"/>
          <w:kern w:val="0"/>
          <w:szCs w:val="21"/>
          <w:highlight w:val="none"/>
        </w:rPr>
        <w:t>上粉机</w:t>
      </w:r>
      <w:r>
        <w:rPr>
          <w:rFonts w:ascii="宋体" w:hAnsi="宋体" w:cs="宋体"/>
          <w:kern w:val="0"/>
          <w:szCs w:val="21"/>
          <w:highlight w:val="none"/>
        </w:rPr>
        <w:t>焊缝应满焊且内圆角半径不应小于3 mm，焊接表面应平滑</w:t>
      </w:r>
      <w:r>
        <w:rPr>
          <w:rFonts w:hint="eastAsia" w:ascii="宋体" w:hAnsi="宋体" w:cs="宋体"/>
          <w:kern w:val="0"/>
          <w:szCs w:val="21"/>
          <w:highlight w:val="none"/>
        </w:rPr>
        <w:t>，</w:t>
      </w:r>
      <w:r>
        <w:rPr>
          <w:rFonts w:ascii="宋体" w:hAnsi="宋体" w:cs="宋体"/>
          <w:kern w:val="0"/>
          <w:szCs w:val="21"/>
          <w:highlight w:val="none"/>
        </w:rPr>
        <w:t>不应有易于残存物料的凹陷</w:t>
      </w:r>
      <w:r>
        <w:rPr>
          <w:rFonts w:hint="eastAsia" w:ascii="宋体" w:hAnsi="宋体" w:cs="宋体"/>
          <w:kern w:val="0"/>
          <w:szCs w:val="21"/>
          <w:highlight w:val="none"/>
        </w:rPr>
        <w:t>、焊纹</w:t>
      </w:r>
      <w:r>
        <w:rPr>
          <w:rFonts w:ascii="宋体" w:hAnsi="宋体" w:cs="宋体"/>
          <w:kern w:val="0"/>
          <w:szCs w:val="21"/>
          <w:highlight w:val="none"/>
        </w:rPr>
        <w:t>等死角</w:t>
      </w:r>
      <w:r>
        <w:rPr>
          <w:rFonts w:ascii="宋体" w:hAnsi="宋体" w:cs="宋体"/>
          <w:kern w:val="0"/>
          <w:szCs w:val="21"/>
          <w:highlight w:val="none"/>
        </w:rPr>
        <w:t>。</w:t>
      </w:r>
      <w:bookmarkEnd w:id="140"/>
      <w:bookmarkEnd w:id="141"/>
      <w:bookmarkEnd w:id="142"/>
    </w:p>
    <w:p w14:paraId="65865080">
      <w:pPr>
        <w:widowControl/>
        <w:numPr>
          <w:ilvl w:val="3"/>
          <w:numId w:val="18"/>
        </w:numPr>
        <w:outlineLvl w:val="2"/>
        <w:rPr>
          <w:rFonts w:hint="eastAsia" w:ascii="宋体" w:hAnsi="宋体" w:cs="宋体"/>
          <w:kern w:val="0"/>
          <w:szCs w:val="21"/>
          <w:highlight w:val="none"/>
        </w:rPr>
      </w:pPr>
      <w:bookmarkStart w:id="143" w:name="_Toc234307560"/>
      <w:bookmarkStart w:id="144" w:name="_Toc8556"/>
      <w:bookmarkStart w:id="145" w:name="_Toc31302"/>
      <w:r>
        <w:rPr>
          <w:rFonts w:hint="eastAsia" w:ascii="宋体" w:hAnsi="宋体" w:cs="宋体"/>
          <w:kern w:val="0"/>
          <w:szCs w:val="21"/>
          <w:highlight w:val="none"/>
        </w:rPr>
        <w:t>上粉机的</w:t>
      </w:r>
      <w:r>
        <w:rPr>
          <w:rFonts w:ascii="宋体" w:hAnsi="宋体" w:cs="宋体"/>
          <w:kern w:val="0"/>
          <w:szCs w:val="21"/>
          <w:highlight w:val="none"/>
        </w:rPr>
        <w:t>棱角倒圆</w:t>
      </w:r>
      <w:r>
        <w:rPr>
          <w:rFonts w:hint="eastAsia" w:ascii="宋体" w:hAnsi="宋体" w:cs="宋体"/>
          <w:kern w:val="0"/>
          <w:szCs w:val="21"/>
          <w:highlight w:val="none"/>
        </w:rPr>
        <w:t>半径</w:t>
      </w:r>
      <w:r>
        <w:rPr>
          <w:rFonts w:ascii="宋体" w:hAnsi="宋体" w:cs="宋体"/>
          <w:kern w:val="0"/>
          <w:szCs w:val="21"/>
          <w:highlight w:val="none"/>
        </w:rPr>
        <w:t>不应小于</w:t>
      </w:r>
      <w:r>
        <w:rPr>
          <w:rFonts w:hint="eastAsia" w:ascii="宋体" w:hAnsi="宋体" w:cs="宋体"/>
          <w:kern w:val="0"/>
          <w:szCs w:val="21"/>
          <w:highlight w:val="none"/>
        </w:rPr>
        <w:t>0.2 mm。</w:t>
      </w:r>
      <w:bookmarkEnd w:id="143"/>
      <w:bookmarkEnd w:id="144"/>
      <w:bookmarkEnd w:id="145"/>
    </w:p>
    <w:p w14:paraId="6CCB3C4D">
      <w:pPr>
        <w:widowControl/>
        <w:numPr>
          <w:ilvl w:val="3"/>
          <w:numId w:val="18"/>
        </w:numPr>
        <w:outlineLvl w:val="2"/>
        <w:rPr>
          <w:rFonts w:hint="eastAsia" w:ascii="宋体" w:hAnsi="宋体" w:cs="宋体"/>
          <w:kern w:val="0"/>
          <w:szCs w:val="21"/>
          <w:highlight w:val="none"/>
        </w:rPr>
      </w:pPr>
      <w:bookmarkStart w:id="146" w:name="_Toc10116"/>
      <w:bookmarkStart w:id="147" w:name="_Toc234307561"/>
      <w:bookmarkStart w:id="148" w:name="_Toc22978"/>
      <w:r>
        <w:rPr>
          <w:rFonts w:hint="eastAsia" w:ascii="宋体" w:hAnsi="宋体" w:cs="宋体"/>
          <w:kern w:val="0"/>
          <w:szCs w:val="21"/>
          <w:highlight w:val="none"/>
        </w:rPr>
        <w:t>上粉机表面涂漆应符合SB/T 228的规定。</w:t>
      </w:r>
      <w:bookmarkEnd w:id="146"/>
      <w:bookmarkEnd w:id="147"/>
      <w:bookmarkEnd w:id="148"/>
    </w:p>
    <w:p w14:paraId="4BD55533">
      <w:pPr>
        <w:widowControl/>
        <w:numPr>
          <w:ilvl w:val="2"/>
          <w:numId w:val="18"/>
        </w:numPr>
        <w:spacing w:before="156" w:beforeLines="50" w:after="156" w:afterLines="50"/>
        <w:outlineLvl w:val="1"/>
        <w:rPr>
          <w:rFonts w:ascii="黑体" w:eastAsia="黑体"/>
          <w:kern w:val="0"/>
          <w:szCs w:val="21"/>
          <w:highlight w:val="none"/>
        </w:rPr>
      </w:pPr>
      <w:bookmarkStart w:id="149" w:name="_Toc20342"/>
      <w:r>
        <w:rPr>
          <w:rFonts w:hint="eastAsia" w:ascii="黑体" w:eastAsia="黑体"/>
          <w:kern w:val="0"/>
          <w:szCs w:val="21"/>
          <w:highlight w:val="none"/>
        </w:rPr>
        <w:t>装配要求</w:t>
      </w:r>
      <w:bookmarkEnd w:id="149"/>
    </w:p>
    <w:p w14:paraId="52326FDA">
      <w:pPr>
        <w:widowControl/>
        <w:numPr>
          <w:ilvl w:val="3"/>
          <w:numId w:val="18"/>
        </w:numPr>
        <w:outlineLvl w:val="2"/>
        <w:rPr>
          <w:rFonts w:hint="eastAsia" w:ascii="宋体" w:hAnsi="宋体" w:cs="宋体"/>
          <w:kern w:val="0"/>
          <w:szCs w:val="21"/>
          <w:highlight w:val="none"/>
        </w:rPr>
      </w:pPr>
      <w:bookmarkStart w:id="150" w:name="_Toc2767"/>
      <w:bookmarkStart w:id="151" w:name="_Toc234307563"/>
      <w:bookmarkStart w:id="152" w:name="_Toc13366"/>
      <w:r>
        <w:rPr>
          <w:rFonts w:hint="eastAsia" w:ascii="宋体" w:hAnsi="宋体" w:cs="宋体"/>
          <w:kern w:val="0"/>
          <w:szCs w:val="21"/>
          <w:highlight w:val="none"/>
        </w:rPr>
        <w:t>上粉机装配应符合SB/T 224的规定。</w:t>
      </w:r>
      <w:bookmarkEnd w:id="150"/>
      <w:bookmarkEnd w:id="151"/>
      <w:bookmarkEnd w:id="152"/>
    </w:p>
    <w:p w14:paraId="73F9CE5E">
      <w:pPr>
        <w:widowControl/>
        <w:numPr>
          <w:ilvl w:val="3"/>
          <w:numId w:val="18"/>
        </w:numPr>
        <w:outlineLvl w:val="2"/>
        <w:rPr>
          <w:rFonts w:hint="eastAsia" w:ascii="宋体" w:hAnsi="宋体" w:cs="宋体"/>
          <w:kern w:val="0"/>
          <w:szCs w:val="21"/>
          <w:highlight w:val="none"/>
        </w:rPr>
      </w:pPr>
      <w:bookmarkStart w:id="153" w:name="_Toc234307564"/>
      <w:bookmarkStart w:id="154" w:name="_Toc15405"/>
      <w:bookmarkStart w:id="155" w:name="_Toc14503"/>
      <w:r>
        <w:rPr>
          <w:rFonts w:hint="eastAsia" w:ascii="宋体" w:hAnsi="宋体" w:cs="宋体"/>
          <w:kern w:val="0"/>
          <w:szCs w:val="21"/>
          <w:highlight w:val="none"/>
        </w:rPr>
        <w:t>上粉机待装配的零部件应清除表面的毛刺、切屑和油污等杂物</w:t>
      </w:r>
      <w:bookmarkEnd w:id="153"/>
      <w:r>
        <w:rPr>
          <w:rFonts w:hint="eastAsia" w:ascii="宋体" w:hAnsi="宋体" w:cs="宋体"/>
          <w:kern w:val="0"/>
          <w:szCs w:val="21"/>
          <w:highlight w:val="none"/>
        </w:rPr>
        <w:t>。料仓内应清洁干净。</w:t>
      </w:r>
      <w:bookmarkEnd w:id="154"/>
      <w:bookmarkEnd w:id="155"/>
    </w:p>
    <w:p w14:paraId="516ED3A0">
      <w:pPr>
        <w:numPr>
          <w:ilvl w:val="3"/>
          <w:numId w:val="18"/>
        </w:numPr>
        <w:outlineLvl w:val="2"/>
        <w:rPr>
          <w:rFonts w:hint="eastAsia" w:ascii="宋体" w:hAnsi="宋体"/>
          <w:kern w:val="0"/>
          <w:szCs w:val="21"/>
          <w:highlight w:val="none"/>
        </w:rPr>
      </w:pPr>
      <w:bookmarkStart w:id="156" w:name="_Toc10797"/>
      <w:bookmarkStart w:id="157" w:name="_Toc25387"/>
      <w:r>
        <w:rPr>
          <w:rFonts w:hint="eastAsia" w:ascii="宋体" w:hAnsi="宋体"/>
          <w:kern w:val="0"/>
          <w:highlight w:val="none"/>
        </w:rPr>
        <w:t>上粉机各零部件的连接应密封可靠，不应有松动和渗漏现象，可拆部分的拆卸和安装应方便，便于清洁。</w:t>
      </w:r>
      <w:bookmarkEnd w:id="156"/>
      <w:bookmarkEnd w:id="157"/>
    </w:p>
    <w:p w14:paraId="23B9751F">
      <w:pPr>
        <w:pStyle w:val="182"/>
        <w:numPr>
          <w:ilvl w:val="3"/>
          <w:numId w:val="18"/>
        </w:numPr>
        <w:ind w:firstLineChars="0"/>
        <w:outlineLvl w:val="2"/>
        <w:rPr>
          <w:rFonts w:hint="eastAsia" w:ascii="宋体" w:hAnsi="宋体"/>
          <w:kern w:val="0"/>
          <w:highlight w:val="none"/>
        </w:rPr>
      </w:pPr>
      <w:bookmarkStart w:id="158" w:name="_Toc3178"/>
      <w:bookmarkStart w:id="159" w:name="_Toc4144"/>
      <w:r>
        <w:rPr>
          <w:rFonts w:hint="eastAsia" w:ascii="宋体" w:hAnsi="宋体"/>
          <w:kern w:val="0"/>
          <w:highlight w:val="none"/>
        </w:rPr>
        <w:t>上粉机输送装置应装卸方便，网带张紧应适宜，运行</w:t>
      </w:r>
      <w:r>
        <w:rPr>
          <w:rFonts w:hint="eastAsia" w:ascii="宋体" w:hAnsi="宋体" w:cs="宋体"/>
          <w:kern w:val="0"/>
          <w:highlight w:val="none"/>
        </w:rPr>
        <w:t>时应无卡阻或颤动等现象</w:t>
      </w:r>
      <w:r>
        <w:rPr>
          <w:rFonts w:hint="eastAsia" w:ascii="宋体" w:hAnsi="宋体"/>
          <w:kern w:val="0"/>
          <w:highlight w:val="none"/>
        </w:rPr>
        <w:t>。</w:t>
      </w:r>
      <w:bookmarkEnd w:id="158"/>
      <w:bookmarkEnd w:id="159"/>
    </w:p>
    <w:p w14:paraId="1CCEF17E">
      <w:pPr>
        <w:widowControl/>
        <w:numPr>
          <w:ilvl w:val="3"/>
          <w:numId w:val="18"/>
        </w:numPr>
        <w:outlineLvl w:val="2"/>
        <w:rPr>
          <w:rFonts w:hint="eastAsia" w:ascii="宋体" w:hAnsi="宋体" w:cs="宋体"/>
          <w:kern w:val="0"/>
          <w:szCs w:val="21"/>
          <w:highlight w:val="none"/>
        </w:rPr>
      </w:pPr>
      <w:bookmarkStart w:id="160" w:name="_Toc18706"/>
      <w:bookmarkStart w:id="161" w:name="_Toc1916"/>
      <w:r>
        <w:rPr>
          <w:rFonts w:hint="eastAsia" w:ascii="宋体" w:hAnsi="宋体" w:cs="宋体"/>
          <w:kern w:val="0"/>
          <w:szCs w:val="21"/>
          <w:highlight w:val="none"/>
        </w:rPr>
        <w:t>上粉机</w:t>
      </w:r>
      <w:r>
        <w:rPr>
          <w:rFonts w:ascii="宋体" w:hAnsi="宋体" w:cs="宋体"/>
          <w:kern w:val="0"/>
          <w:szCs w:val="21"/>
          <w:highlight w:val="none"/>
        </w:rPr>
        <w:t>装配后的外观质量应符合GB/T 14253的规定</w:t>
      </w:r>
      <w:r>
        <w:rPr>
          <w:rFonts w:hint="eastAsia" w:ascii="宋体" w:hAnsi="宋体" w:cs="宋体"/>
          <w:kern w:val="0"/>
          <w:szCs w:val="21"/>
          <w:highlight w:val="none"/>
        </w:rPr>
        <w:t>。</w:t>
      </w:r>
      <w:bookmarkEnd w:id="160"/>
      <w:bookmarkEnd w:id="161"/>
    </w:p>
    <w:p w14:paraId="4A133056">
      <w:pPr>
        <w:widowControl/>
        <w:numPr>
          <w:ilvl w:val="2"/>
          <w:numId w:val="18"/>
        </w:numPr>
        <w:spacing w:before="156" w:beforeLines="50" w:after="156" w:afterLines="50"/>
        <w:outlineLvl w:val="1"/>
        <w:rPr>
          <w:rFonts w:ascii="黑体" w:eastAsia="黑体"/>
          <w:kern w:val="0"/>
          <w:szCs w:val="21"/>
          <w:highlight w:val="none"/>
        </w:rPr>
      </w:pPr>
      <w:bookmarkStart w:id="162" w:name="_Toc196238730"/>
      <w:bookmarkStart w:id="163" w:name="_Toc7748"/>
      <w:r>
        <w:rPr>
          <w:rFonts w:hint="eastAsia" w:ascii="黑体" w:eastAsia="黑体"/>
          <w:kern w:val="0"/>
          <w:szCs w:val="21"/>
          <w:highlight w:val="none"/>
        </w:rPr>
        <w:t>主要零部件及系统要求</w:t>
      </w:r>
      <w:bookmarkEnd w:id="162"/>
      <w:bookmarkEnd w:id="163"/>
    </w:p>
    <w:p w14:paraId="5D322A9B">
      <w:pPr>
        <w:widowControl/>
        <w:numPr>
          <w:ilvl w:val="3"/>
          <w:numId w:val="18"/>
        </w:numPr>
        <w:spacing w:before="156" w:beforeLines="50" w:after="156" w:afterLines="50"/>
        <w:outlineLvl w:val="1"/>
        <w:rPr>
          <w:rFonts w:ascii="黑体" w:eastAsia="黑体"/>
          <w:kern w:val="0"/>
          <w:szCs w:val="21"/>
          <w:highlight w:val="none"/>
        </w:rPr>
      </w:pPr>
      <w:bookmarkStart w:id="164" w:name="_Toc234307571"/>
      <w:bookmarkStart w:id="165" w:name="_Toc15519"/>
      <w:bookmarkStart w:id="166" w:name="_Toc10388"/>
      <w:r>
        <w:rPr>
          <w:rFonts w:hint="eastAsia" w:ascii="黑体" w:eastAsia="黑体"/>
          <w:kern w:val="0"/>
          <w:szCs w:val="21"/>
          <w:highlight w:val="none"/>
        </w:rPr>
        <w:t>主要零部件</w:t>
      </w:r>
      <w:r>
        <w:rPr>
          <w:rFonts w:hint="eastAsia" w:eastAsia="黑体"/>
          <w:kern w:val="0"/>
          <w:szCs w:val="21"/>
          <w:highlight w:val="none"/>
        </w:rPr>
        <w:t>要求</w:t>
      </w:r>
      <w:bookmarkEnd w:id="164"/>
      <w:bookmarkEnd w:id="165"/>
      <w:bookmarkEnd w:id="166"/>
    </w:p>
    <w:p w14:paraId="68997491">
      <w:pPr>
        <w:widowControl/>
        <w:numPr>
          <w:ilvl w:val="4"/>
          <w:numId w:val="18"/>
        </w:numPr>
        <w:outlineLvl w:val="2"/>
        <w:rPr>
          <w:rFonts w:hint="eastAsia" w:ascii="宋体" w:hAnsi="宋体" w:cs="宋体"/>
          <w:kern w:val="0"/>
          <w:szCs w:val="21"/>
          <w:highlight w:val="none"/>
        </w:rPr>
      </w:pPr>
      <w:bookmarkStart w:id="167" w:name="_Toc2406"/>
      <w:bookmarkStart w:id="168" w:name="_Toc2260"/>
      <w:r>
        <w:rPr>
          <w:rFonts w:ascii="宋体" w:hAnsi="宋体" w:cs="宋体"/>
          <w:kern w:val="0"/>
          <w:szCs w:val="21"/>
          <w:highlight w:val="none"/>
        </w:rPr>
        <w:t>零部件的接合面边缘应整齐均匀，不应有明显的错位；门或盖等接合面不应有超过规定的缝隙。</w:t>
      </w:r>
      <w:bookmarkEnd w:id="167"/>
      <w:bookmarkEnd w:id="168"/>
    </w:p>
    <w:p w14:paraId="6219CCF8">
      <w:pPr>
        <w:widowControl/>
        <w:numPr>
          <w:ilvl w:val="4"/>
          <w:numId w:val="18"/>
        </w:numPr>
        <w:outlineLvl w:val="2"/>
        <w:rPr>
          <w:rFonts w:hint="eastAsia" w:ascii="宋体" w:hAnsi="宋体" w:cs="宋体"/>
          <w:kern w:val="0"/>
          <w:szCs w:val="21"/>
          <w:highlight w:val="none"/>
        </w:rPr>
      </w:pPr>
      <w:bookmarkStart w:id="169" w:name="_Toc31679"/>
      <w:bookmarkStart w:id="170" w:name="_Toc21473"/>
      <w:r>
        <w:rPr>
          <w:rFonts w:hint="eastAsia" w:ascii="宋体" w:hAnsi="宋体" w:cs="宋体"/>
          <w:kern w:val="0"/>
          <w:szCs w:val="21"/>
          <w:highlight w:val="none"/>
        </w:rPr>
        <w:t>上粉机的控粉挡板表面应光滑平整，</w:t>
      </w:r>
      <w:r>
        <w:rPr>
          <w:rFonts w:ascii="宋体" w:hAnsi="宋体" w:cs="宋体"/>
          <w:kern w:val="0"/>
          <w:szCs w:val="21"/>
          <w:highlight w:val="none"/>
        </w:rPr>
        <w:t>调节刻度标识</w:t>
      </w:r>
      <w:r>
        <w:rPr>
          <w:rFonts w:hint="eastAsia" w:ascii="宋体" w:hAnsi="宋体" w:cs="宋体"/>
          <w:kern w:val="0"/>
          <w:szCs w:val="21"/>
          <w:highlight w:val="none"/>
        </w:rPr>
        <w:t>应</w:t>
      </w:r>
      <w:r>
        <w:rPr>
          <w:rFonts w:ascii="宋体" w:hAnsi="宋体" w:cs="宋体"/>
          <w:kern w:val="0"/>
          <w:szCs w:val="21"/>
          <w:highlight w:val="none"/>
        </w:rPr>
        <w:t>清晰</w:t>
      </w:r>
      <w:r>
        <w:rPr>
          <w:rFonts w:hint="eastAsia" w:ascii="宋体" w:hAnsi="宋体" w:cs="宋体"/>
          <w:kern w:val="0"/>
          <w:szCs w:val="21"/>
          <w:highlight w:val="none"/>
        </w:rPr>
        <w:t>。</w:t>
      </w:r>
      <w:bookmarkEnd w:id="169"/>
      <w:bookmarkEnd w:id="170"/>
    </w:p>
    <w:p w14:paraId="12D92E52">
      <w:pPr>
        <w:widowControl/>
        <w:numPr>
          <w:ilvl w:val="4"/>
          <w:numId w:val="18"/>
        </w:numPr>
        <w:outlineLvl w:val="2"/>
        <w:rPr>
          <w:rFonts w:hint="eastAsia" w:ascii="宋体" w:hAnsi="宋体" w:cs="宋体"/>
          <w:kern w:val="0"/>
          <w:szCs w:val="21"/>
          <w:highlight w:val="none"/>
        </w:rPr>
      </w:pPr>
      <w:bookmarkStart w:id="171" w:name="_Toc27164"/>
      <w:bookmarkStart w:id="172" w:name="_Toc15743"/>
      <w:r>
        <w:rPr>
          <w:rFonts w:hint="eastAsia" w:ascii="宋体" w:hAnsi="宋体" w:cs="宋体"/>
          <w:kern w:val="0"/>
          <w:szCs w:val="21"/>
          <w:highlight w:val="none"/>
        </w:rPr>
        <w:t>上粉机的控粉挡板应调节自如，落粉均匀，</w:t>
      </w:r>
      <w:r>
        <w:rPr>
          <w:rFonts w:ascii="宋体" w:hAnsi="宋体" w:cs="宋体"/>
          <w:kern w:val="0"/>
          <w:szCs w:val="21"/>
          <w:highlight w:val="none"/>
        </w:rPr>
        <w:t>调节后</w:t>
      </w:r>
      <w:r>
        <w:rPr>
          <w:rFonts w:hint="eastAsia" w:ascii="宋体" w:hAnsi="宋体" w:cs="宋体"/>
          <w:kern w:val="0"/>
          <w:szCs w:val="21"/>
          <w:highlight w:val="none"/>
        </w:rPr>
        <w:t>应</w:t>
      </w:r>
      <w:r>
        <w:rPr>
          <w:rFonts w:ascii="宋体" w:hAnsi="宋体" w:cs="宋体"/>
          <w:kern w:val="0"/>
          <w:szCs w:val="21"/>
          <w:highlight w:val="none"/>
        </w:rPr>
        <w:t>锁紧牢固</w:t>
      </w:r>
      <w:r>
        <w:rPr>
          <w:rFonts w:hint="eastAsia" w:ascii="宋体" w:hAnsi="宋体" w:cs="宋体"/>
          <w:kern w:val="0"/>
          <w:szCs w:val="21"/>
          <w:highlight w:val="none"/>
        </w:rPr>
        <w:t>。</w:t>
      </w:r>
      <w:bookmarkEnd w:id="171"/>
      <w:bookmarkEnd w:id="172"/>
    </w:p>
    <w:p w14:paraId="30D2CCAB">
      <w:pPr>
        <w:widowControl/>
        <w:numPr>
          <w:ilvl w:val="4"/>
          <w:numId w:val="18"/>
        </w:numPr>
        <w:outlineLvl w:val="2"/>
        <w:rPr>
          <w:rFonts w:hint="eastAsia" w:ascii="宋体" w:hAnsi="宋体" w:cs="宋体"/>
          <w:kern w:val="0"/>
          <w:szCs w:val="21"/>
          <w:highlight w:val="none"/>
        </w:rPr>
      </w:pPr>
      <w:bookmarkStart w:id="173" w:name="_Toc8314"/>
      <w:bookmarkStart w:id="174" w:name="_Toc13761"/>
      <w:r>
        <w:rPr>
          <w:rFonts w:hint="eastAsia" w:ascii="宋体" w:hAnsi="宋体" w:cs="宋体"/>
          <w:kern w:val="0"/>
          <w:szCs w:val="21"/>
          <w:highlight w:val="none"/>
        </w:rPr>
        <w:t>上粉机的料仓和控粉挡板不应有漏粉现象。</w:t>
      </w:r>
      <w:bookmarkEnd w:id="173"/>
      <w:bookmarkEnd w:id="174"/>
    </w:p>
    <w:p w14:paraId="22027D89">
      <w:pPr>
        <w:widowControl/>
        <w:numPr>
          <w:ilvl w:val="4"/>
          <w:numId w:val="18"/>
        </w:numPr>
        <w:outlineLvl w:val="2"/>
        <w:rPr>
          <w:highlight w:val="none"/>
        </w:rPr>
      </w:pPr>
      <w:bookmarkStart w:id="175" w:name="_Toc11609"/>
      <w:bookmarkStart w:id="176" w:name="_Toc17392"/>
      <w:r>
        <w:rPr>
          <w:rFonts w:hint="eastAsia" w:ascii="宋体" w:hAnsi="宋体" w:cs="宋体"/>
          <w:kern w:val="0"/>
          <w:szCs w:val="21"/>
          <w:highlight w:val="none"/>
        </w:rPr>
        <w:t>压辊宽度不应小于输送网带有效宽度。</w:t>
      </w:r>
      <w:bookmarkEnd w:id="175"/>
      <w:bookmarkEnd w:id="176"/>
    </w:p>
    <w:p w14:paraId="5496BA33">
      <w:pPr>
        <w:widowControl/>
        <w:numPr>
          <w:ilvl w:val="4"/>
          <w:numId w:val="18"/>
        </w:numPr>
        <w:outlineLvl w:val="2"/>
        <w:rPr>
          <w:rFonts w:hint="eastAsia" w:ascii="宋体" w:hAnsi="宋体" w:cs="宋体"/>
          <w:kern w:val="0"/>
          <w:szCs w:val="21"/>
          <w:highlight w:val="none"/>
        </w:rPr>
      </w:pPr>
      <w:bookmarkStart w:id="177" w:name="_Toc26221"/>
      <w:bookmarkStart w:id="178" w:name="_Toc25875"/>
      <w:r>
        <w:rPr>
          <w:rFonts w:hint="eastAsia" w:ascii="宋体" w:hAnsi="宋体" w:cs="宋体"/>
          <w:kern w:val="0"/>
          <w:szCs w:val="21"/>
          <w:highlight w:val="none"/>
        </w:rPr>
        <w:t>压辊应与输送网带同步运</w:t>
      </w:r>
      <w:r>
        <w:rPr>
          <w:rFonts w:hint="eastAsia" w:ascii="宋体" w:hAnsi="宋体" w:cs="宋体"/>
          <w:kern w:val="0"/>
          <w:szCs w:val="21"/>
          <w:highlight w:val="none"/>
        </w:rPr>
        <w:t>行，两者之间</w:t>
      </w:r>
      <w:r>
        <w:rPr>
          <w:rFonts w:hint="eastAsia" w:ascii="宋体" w:hAnsi="宋体" w:cs="宋体"/>
          <w:kern w:val="0"/>
          <w:szCs w:val="21"/>
          <w:highlight w:val="none"/>
        </w:rPr>
        <w:t>的间隙应能根据物料厚度进行调节。</w:t>
      </w:r>
      <w:bookmarkEnd w:id="177"/>
      <w:bookmarkEnd w:id="178"/>
    </w:p>
    <w:p w14:paraId="357210AB">
      <w:pPr>
        <w:widowControl/>
        <w:numPr>
          <w:ilvl w:val="4"/>
          <w:numId w:val="18"/>
        </w:numPr>
        <w:outlineLvl w:val="2"/>
        <w:rPr>
          <w:rFonts w:hint="eastAsia" w:ascii="宋体" w:hAnsi="宋体" w:cs="宋体"/>
          <w:kern w:val="0"/>
          <w:szCs w:val="21"/>
          <w:highlight w:val="none"/>
        </w:rPr>
      </w:pPr>
      <w:bookmarkStart w:id="179" w:name="_Toc391"/>
      <w:bookmarkStart w:id="180" w:name="_Toc22727"/>
      <w:r>
        <w:rPr>
          <w:rFonts w:hint="eastAsia"/>
          <w:highlight w:val="none"/>
        </w:rPr>
        <w:t>上粉机的风刀应出风均匀，无漏风现象。</w:t>
      </w:r>
      <w:bookmarkEnd w:id="179"/>
      <w:bookmarkEnd w:id="180"/>
    </w:p>
    <w:p w14:paraId="73F6374D">
      <w:pPr>
        <w:widowControl/>
        <w:numPr>
          <w:ilvl w:val="4"/>
          <w:numId w:val="18"/>
        </w:numPr>
        <w:outlineLvl w:val="2"/>
        <w:rPr>
          <w:rFonts w:hint="eastAsia" w:ascii="宋体" w:hAnsi="宋体" w:cs="宋体"/>
          <w:kern w:val="0"/>
          <w:szCs w:val="21"/>
          <w:highlight w:val="none"/>
        </w:rPr>
      </w:pPr>
      <w:bookmarkStart w:id="181" w:name="_Toc29027"/>
      <w:bookmarkStart w:id="182" w:name="_Toc1345"/>
      <w:r>
        <w:rPr>
          <w:rFonts w:hint="eastAsia"/>
          <w:highlight w:val="none"/>
        </w:rPr>
        <w:t>上粉机的风刀宽度应与网带有效宽度相匹配，出风角度和</w:t>
      </w:r>
      <w:r>
        <w:rPr>
          <w:rFonts w:hint="eastAsia" w:ascii="宋体" w:hAnsi="宋体" w:cs="宋体"/>
          <w:kern w:val="0"/>
          <w:szCs w:val="21"/>
          <w:highlight w:val="none"/>
        </w:rPr>
        <w:t>上下位置应方便调节。</w:t>
      </w:r>
      <w:bookmarkEnd w:id="181"/>
      <w:bookmarkEnd w:id="182"/>
    </w:p>
    <w:p w14:paraId="47B4743E">
      <w:pPr>
        <w:widowControl/>
        <w:numPr>
          <w:ilvl w:val="4"/>
          <w:numId w:val="18"/>
        </w:numPr>
        <w:outlineLvl w:val="2"/>
        <w:rPr>
          <w:rFonts w:hint="eastAsia" w:ascii="宋体" w:hAnsi="宋体" w:cs="宋体"/>
          <w:kern w:val="0"/>
          <w:szCs w:val="21"/>
          <w:highlight w:val="none"/>
        </w:rPr>
      </w:pPr>
      <w:bookmarkStart w:id="183" w:name="_Toc9411"/>
      <w:bookmarkStart w:id="184" w:name="_Toc16195"/>
      <w:r>
        <w:rPr>
          <w:rFonts w:hint="eastAsia"/>
          <w:highlight w:val="none"/>
        </w:rPr>
        <w:t>上粉机</w:t>
      </w:r>
      <w:r>
        <w:rPr>
          <w:rFonts w:hint="eastAsia" w:ascii="宋体" w:hAnsi="宋体" w:cs="宋体"/>
          <w:kern w:val="0"/>
          <w:szCs w:val="21"/>
          <w:highlight w:val="none"/>
        </w:rPr>
        <w:t>吸风口吸力应强劲稳定，</w:t>
      </w:r>
      <w:r>
        <w:rPr>
          <w:rFonts w:ascii="宋体" w:hAnsi="宋体" w:cs="宋体"/>
          <w:kern w:val="0"/>
          <w:szCs w:val="21"/>
          <w:highlight w:val="none"/>
        </w:rPr>
        <w:t>无</w:t>
      </w:r>
      <w:r>
        <w:rPr>
          <w:rFonts w:hint="eastAsia" w:ascii="宋体" w:hAnsi="宋体" w:cs="宋体"/>
          <w:kern w:val="0"/>
          <w:szCs w:val="21"/>
          <w:highlight w:val="none"/>
        </w:rPr>
        <w:t>粉尘外溢情况，</w:t>
      </w:r>
      <w:r>
        <w:rPr>
          <w:rFonts w:ascii="宋体" w:hAnsi="宋体" w:cs="宋体"/>
          <w:kern w:val="0"/>
          <w:szCs w:val="21"/>
          <w:highlight w:val="none"/>
        </w:rPr>
        <w:t>停机后</w:t>
      </w:r>
      <w:r>
        <w:rPr>
          <w:rFonts w:hint="eastAsia" w:ascii="宋体" w:hAnsi="宋体" w:cs="宋体"/>
          <w:kern w:val="0"/>
          <w:szCs w:val="21"/>
          <w:highlight w:val="none"/>
        </w:rPr>
        <w:t>应</w:t>
      </w:r>
      <w:r>
        <w:rPr>
          <w:rFonts w:ascii="宋体" w:hAnsi="宋体" w:cs="宋体"/>
          <w:kern w:val="0"/>
          <w:szCs w:val="21"/>
          <w:highlight w:val="none"/>
        </w:rPr>
        <w:t>无负压倒吸现象。</w:t>
      </w:r>
      <w:bookmarkEnd w:id="183"/>
      <w:bookmarkEnd w:id="184"/>
    </w:p>
    <w:p w14:paraId="70DC3E52">
      <w:pPr>
        <w:widowControl/>
        <w:numPr>
          <w:ilvl w:val="4"/>
          <w:numId w:val="18"/>
        </w:numPr>
        <w:outlineLvl w:val="2"/>
        <w:rPr>
          <w:rFonts w:hint="eastAsia" w:ascii="宋体" w:hAnsi="宋体" w:cs="宋体"/>
          <w:kern w:val="0"/>
          <w:szCs w:val="21"/>
          <w:highlight w:val="none"/>
        </w:rPr>
      </w:pPr>
      <w:bookmarkStart w:id="185" w:name="_Toc25687"/>
      <w:bookmarkStart w:id="186" w:name="_Toc6780"/>
      <w:r>
        <w:rPr>
          <w:rFonts w:hint="eastAsia" w:ascii="宋体" w:hAnsi="宋体" w:cs="宋体"/>
          <w:kern w:val="0"/>
          <w:szCs w:val="21"/>
          <w:highlight w:val="none"/>
        </w:rPr>
        <w:t>滚筒式上粉机的滚筒转动应灵活平衡，滚筒出料角度应可调</w:t>
      </w:r>
      <w:bookmarkStart w:id="187" w:name="_Toc186914353_ai"/>
      <w:bookmarkEnd w:id="187"/>
      <w:r>
        <w:rPr>
          <w:rFonts w:hint="eastAsia" w:ascii="宋体" w:hAnsi="宋体" w:cs="宋体"/>
          <w:kern w:val="0"/>
          <w:szCs w:val="21"/>
          <w:highlight w:val="none"/>
        </w:rPr>
        <w:t>，</w:t>
      </w:r>
      <w:r>
        <w:rPr>
          <w:rFonts w:hint="eastAsia"/>
          <w:highlight w:val="none"/>
        </w:rPr>
        <w:t>滚筒</w:t>
      </w:r>
      <w:r>
        <w:rPr>
          <w:highlight w:val="none"/>
        </w:rPr>
        <w:t>内</w:t>
      </w:r>
      <w:r>
        <w:rPr>
          <w:rFonts w:hint="eastAsia" w:ascii="宋体" w:hAnsi="宋体" w:cs="宋体"/>
          <w:kern w:val="0"/>
          <w:szCs w:val="21"/>
          <w:highlight w:val="none"/>
        </w:rPr>
        <w:t>导料板方向不应阻碍产品输送且无</w:t>
      </w:r>
      <w:r>
        <w:rPr>
          <w:highlight w:val="none"/>
        </w:rPr>
        <w:t>滞留</w:t>
      </w:r>
      <w:r>
        <w:rPr>
          <w:rFonts w:hint="eastAsia"/>
          <w:highlight w:val="none"/>
        </w:rPr>
        <w:t>粉料的</w:t>
      </w:r>
      <w:r>
        <w:rPr>
          <w:highlight w:val="none"/>
        </w:rPr>
        <w:t>死角。</w:t>
      </w:r>
      <w:bookmarkEnd w:id="185"/>
      <w:bookmarkEnd w:id="186"/>
    </w:p>
    <w:p w14:paraId="4C4FBAC9">
      <w:pPr>
        <w:widowControl/>
        <w:numPr>
          <w:ilvl w:val="3"/>
          <w:numId w:val="18"/>
        </w:numPr>
        <w:spacing w:before="156" w:beforeLines="50" w:after="156" w:afterLines="50"/>
        <w:outlineLvl w:val="2"/>
        <w:rPr>
          <w:rFonts w:ascii="黑体" w:eastAsia="黑体"/>
          <w:kern w:val="0"/>
          <w:szCs w:val="21"/>
          <w:highlight w:val="none"/>
        </w:rPr>
      </w:pPr>
      <w:bookmarkStart w:id="188" w:name="_Toc196238734"/>
      <w:bookmarkStart w:id="189" w:name="_Toc196241132"/>
      <w:bookmarkStart w:id="190" w:name="_Toc12475"/>
      <w:bookmarkStart w:id="191" w:name="_Toc22132"/>
      <w:bookmarkStart w:id="192" w:name="_Toc234307573"/>
      <w:bookmarkStart w:id="193" w:name="OLE_LINK2"/>
      <w:r>
        <w:rPr>
          <w:rFonts w:hint="eastAsia" w:ascii="黑体" w:eastAsia="黑体"/>
          <w:kern w:val="0"/>
          <w:szCs w:val="21"/>
          <w:highlight w:val="none"/>
        </w:rPr>
        <w:t>自动控制系统</w:t>
      </w:r>
      <w:bookmarkEnd w:id="188"/>
      <w:bookmarkEnd w:id="189"/>
      <w:r>
        <w:rPr>
          <w:rFonts w:hint="eastAsia" w:eastAsia="黑体"/>
          <w:kern w:val="0"/>
          <w:szCs w:val="21"/>
          <w:highlight w:val="none"/>
        </w:rPr>
        <w:t>要求</w:t>
      </w:r>
      <w:bookmarkEnd w:id="190"/>
      <w:bookmarkEnd w:id="191"/>
      <w:bookmarkEnd w:id="192"/>
    </w:p>
    <w:p w14:paraId="29BD998C">
      <w:pPr>
        <w:widowControl/>
        <w:numPr>
          <w:ilvl w:val="4"/>
          <w:numId w:val="18"/>
        </w:numPr>
        <w:spacing w:before="156" w:beforeLines="50" w:after="156" w:afterLines="50"/>
        <w:outlineLvl w:val="3"/>
        <w:rPr>
          <w:rFonts w:ascii="黑体" w:eastAsia="黑体"/>
          <w:kern w:val="0"/>
          <w:szCs w:val="21"/>
          <w:highlight w:val="none"/>
        </w:rPr>
      </w:pPr>
      <w:r>
        <w:rPr>
          <w:rFonts w:hint="eastAsia" w:ascii="黑体" w:eastAsia="黑体"/>
          <w:kern w:val="0"/>
          <w:szCs w:val="21"/>
          <w:highlight w:val="none"/>
        </w:rPr>
        <w:t>基本要求</w:t>
      </w:r>
    </w:p>
    <w:bookmarkEnd w:id="193"/>
    <w:p w14:paraId="69B8523E">
      <w:pPr>
        <w:widowControl/>
        <w:numPr>
          <w:ilvl w:val="5"/>
          <w:numId w:val="18"/>
        </w:numPr>
        <w:outlineLvl w:val="4"/>
        <w:rPr>
          <w:rFonts w:hint="eastAsia" w:ascii="宋体" w:hAnsi="宋体" w:cs="宋体"/>
          <w:kern w:val="0"/>
          <w:szCs w:val="21"/>
          <w:highlight w:val="none"/>
        </w:rPr>
      </w:pPr>
      <w:bookmarkStart w:id="194" w:name="_Toc234307574"/>
      <w:bookmarkStart w:id="195" w:name="_Toc9489"/>
      <w:r>
        <w:rPr>
          <w:rFonts w:hint="eastAsia" w:ascii="宋体" w:hAnsi="宋体" w:cs="宋体"/>
          <w:kern w:val="0"/>
          <w:szCs w:val="21"/>
          <w:highlight w:val="none"/>
        </w:rPr>
        <w:t>上粉</w:t>
      </w:r>
      <w:r>
        <w:rPr>
          <w:rFonts w:hint="eastAsia" w:ascii="宋体" w:hAnsi="宋体" w:cs="宋体"/>
          <w:kern w:val="0"/>
          <w:szCs w:val="21"/>
          <w:highlight w:val="none"/>
        </w:rPr>
        <w:t>机</w:t>
      </w:r>
      <w:r>
        <w:rPr>
          <w:rFonts w:ascii="宋体" w:hAnsi="宋体" w:cs="宋体"/>
          <w:kern w:val="0"/>
          <w:szCs w:val="21"/>
          <w:highlight w:val="none"/>
        </w:rPr>
        <w:t>自动控制系统可</w:t>
      </w:r>
      <w:r>
        <w:rPr>
          <w:rFonts w:ascii="宋体" w:hAnsi="宋体" w:cs="宋体"/>
          <w:kern w:val="0"/>
          <w:szCs w:val="21"/>
          <w:highlight w:val="none"/>
        </w:rPr>
        <w:t>靠性技术评审程序应符合GB/T 30093的规定。</w:t>
      </w:r>
      <w:bookmarkEnd w:id="194"/>
      <w:bookmarkEnd w:id="195"/>
    </w:p>
    <w:p w14:paraId="5F38122D">
      <w:pPr>
        <w:widowControl/>
        <w:numPr>
          <w:ilvl w:val="5"/>
          <w:numId w:val="18"/>
        </w:numPr>
        <w:outlineLvl w:val="4"/>
        <w:rPr>
          <w:rFonts w:hint="eastAsia" w:ascii="宋体" w:hAnsi="宋体" w:cs="宋体"/>
          <w:kern w:val="0"/>
          <w:szCs w:val="21"/>
          <w:highlight w:val="none"/>
        </w:rPr>
      </w:pPr>
      <w:bookmarkStart w:id="196" w:name="_Toc12127"/>
      <w:bookmarkStart w:id="197" w:name="_Toc234307575"/>
      <w:r>
        <w:rPr>
          <w:rFonts w:hint="eastAsia" w:ascii="宋体" w:hAnsi="宋体" w:cs="宋体"/>
          <w:kern w:val="0"/>
          <w:szCs w:val="21"/>
          <w:highlight w:val="none"/>
        </w:rPr>
        <w:t>上粉机自动控制系统的人机操作界面应目录清晰，分类明确，便于操作，功能应满足工艺要求。</w:t>
      </w:r>
      <w:bookmarkEnd w:id="196"/>
      <w:bookmarkEnd w:id="197"/>
    </w:p>
    <w:p w14:paraId="051E39A5">
      <w:pPr>
        <w:widowControl/>
        <w:numPr>
          <w:ilvl w:val="5"/>
          <w:numId w:val="18"/>
        </w:numPr>
        <w:outlineLvl w:val="4"/>
        <w:rPr>
          <w:rFonts w:hint="eastAsia" w:ascii="宋体" w:hAnsi="宋体" w:cs="宋体"/>
          <w:kern w:val="0"/>
          <w:szCs w:val="21"/>
          <w:highlight w:val="none"/>
        </w:rPr>
      </w:pPr>
      <w:bookmarkStart w:id="198" w:name="_Toc234307577"/>
      <w:bookmarkStart w:id="199" w:name="_Toc29941"/>
      <w:r>
        <w:rPr>
          <w:rFonts w:hint="eastAsia" w:ascii="宋体" w:hAnsi="宋体" w:cs="宋体"/>
          <w:kern w:val="0"/>
          <w:szCs w:val="21"/>
          <w:highlight w:val="none"/>
        </w:rPr>
        <w:t>上粉机自动控制系统的</w:t>
      </w:r>
      <w:r>
        <w:rPr>
          <w:rFonts w:hint="eastAsia" w:ascii="宋体" w:hAnsi="宋体"/>
          <w:szCs w:val="21"/>
          <w:highlight w:val="none"/>
        </w:rPr>
        <w:t>程序内容应符合简单性、可读性和可靠性原则，并完备报警系统。</w:t>
      </w:r>
      <w:r>
        <w:rPr>
          <w:rFonts w:hint="eastAsia" w:ascii="宋体" w:hAnsi="宋体" w:cs="宋体"/>
          <w:kern w:val="0"/>
          <w:szCs w:val="21"/>
          <w:highlight w:val="none"/>
        </w:rPr>
        <w:t>自动控制系统的调整</w:t>
      </w:r>
      <w:r>
        <w:rPr>
          <w:rFonts w:hint="eastAsia" w:ascii="宋体" w:hAnsi="宋体" w:cs="宋体"/>
          <w:kern w:val="0"/>
          <w:szCs w:val="21"/>
          <w:highlight w:val="none"/>
        </w:rPr>
        <w:t>应按照程序设定自动运行，动作应灵活、可靠。</w:t>
      </w:r>
      <w:bookmarkEnd w:id="198"/>
      <w:bookmarkEnd w:id="199"/>
    </w:p>
    <w:p w14:paraId="739614A1">
      <w:pPr>
        <w:widowControl/>
        <w:numPr>
          <w:ilvl w:val="5"/>
          <w:numId w:val="18"/>
        </w:numPr>
        <w:outlineLvl w:val="4"/>
        <w:rPr>
          <w:rFonts w:hint="eastAsia" w:ascii="宋体" w:hAnsi="宋体"/>
          <w:color w:val="000000"/>
          <w:kern w:val="0"/>
          <w:szCs w:val="21"/>
          <w:highlight w:val="none"/>
        </w:rPr>
      </w:pPr>
      <w:bookmarkStart w:id="200" w:name="_Toc25055"/>
      <w:bookmarkStart w:id="201" w:name="_Toc234307578"/>
      <w:r>
        <w:rPr>
          <w:rFonts w:hint="eastAsia" w:ascii="宋体" w:hAnsi="宋体"/>
          <w:color w:val="000000"/>
          <w:kern w:val="0"/>
          <w:highlight w:val="none"/>
        </w:rPr>
        <w:t>上粉机自动控制系统的</w:t>
      </w:r>
      <w:r>
        <w:rPr>
          <w:rFonts w:hint="eastAsia" w:ascii="宋体" w:hAnsi="宋体"/>
          <w:color w:val="000000"/>
          <w:highlight w:val="none"/>
        </w:rPr>
        <w:t>调节部分均应数据化，可实现预先设定、实时跟踪和自动控制等功能。</w:t>
      </w:r>
      <w:bookmarkEnd w:id="200"/>
      <w:bookmarkEnd w:id="201"/>
    </w:p>
    <w:p w14:paraId="5FA24C56">
      <w:pPr>
        <w:widowControl/>
        <w:numPr>
          <w:ilvl w:val="5"/>
          <w:numId w:val="18"/>
        </w:numPr>
        <w:outlineLvl w:val="4"/>
        <w:rPr>
          <w:rFonts w:hint="eastAsia" w:ascii="宋体" w:hAnsi="宋体" w:cs="宋体"/>
          <w:kern w:val="0"/>
          <w:szCs w:val="21"/>
          <w:highlight w:val="none"/>
        </w:rPr>
      </w:pPr>
      <w:bookmarkStart w:id="202" w:name="_Toc234307579"/>
      <w:bookmarkStart w:id="203" w:name="_Toc24716"/>
      <w:r>
        <w:rPr>
          <w:rFonts w:hint="eastAsia" w:ascii="宋体" w:hAnsi="宋体" w:cs="宋体"/>
          <w:kern w:val="0"/>
          <w:szCs w:val="21"/>
          <w:highlight w:val="none"/>
        </w:rPr>
        <w:t>上粉机自动控制系统的物理设备（电气系统硬件、人机界面、PLC、电源和接触器等电器元件）应位置明显，固定牢固可靠；应防尘、防水和防电磁干扰等；必要时应配置特殊保护装置。</w:t>
      </w:r>
      <w:bookmarkEnd w:id="202"/>
      <w:bookmarkEnd w:id="203"/>
    </w:p>
    <w:p w14:paraId="70577627">
      <w:pPr>
        <w:widowControl/>
        <w:numPr>
          <w:ilvl w:val="5"/>
          <w:numId w:val="18"/>
        </w:numPr>
        <w:outlineLvl w:val="4"/>
        <w:rPr>
          <w:rFonts w:hint="eastAsia" w:ascii="宋体" w:hAnsi="宋体" w:cs="宋体"/>
          <w:kern w:val="0"/>
          <w:szCs w:val="21"/>
          <w:highlight w:val="none"/>
        </w:rPr>
      </w:pPr>
      <w:bookmarkStart w:id="204" w:name="_Toc234307580"/>
      <w:bookmarkStart w:id="205" w:name="_Toc22777"/>
      <w:r>
        <w:rPr>
          <w:rFonts w:hint="eastAsia" w:ascii="宋体" w:hAnsi="宋体" w:cs="宋体"/>
          <w:kern w:val="0"/>
          <w:szCs w:val="21"/>
          <w:highlight w:val="none"/>
        </w:rPr>
        <w:t>上粉机自动控制系统与外界的信号传输连接应安全可靠，应设置弓形管路以加强防水、防尘，提高信号传输的稳定性和可靠性。</w:t>
      </w:r>
      <w:bookmarkEnd w:id="204"/>
      <w:bookmarkEnd w:id="205"/>
    </w:p>
    <w:p w14:paraId="665C9A1F">
      <w:pPr>
        <w:widowControl/>
        <w:numPr>
          <w:ilvl w:val="4"/>
          <w:numId w:val="18"/>
        </w:numPr>
        <w:spacing w:before="156" w:beforeLines="50" w:after="156" w:afterLines="50"/>
        <w:outlineLvl w:val="3"/>
        <w:rPr>
          <w:rFonts w:ascii="黑体" w:eastAsia="黑体"/>
          <w:kern w:val="0"/>
          <w:szCs w:val="21"/>
          <w:highlight w:val="none"/>
        </w:rPr>
      </w:pPr>
      <w:r>
        <w:rPr>
          <w:rFonts w:ascii="黑体" w:eastAsia="黑体"/>
          <w:kern w:val="0"/>
          <w:szCs w:val="21"/>
          <w:highlight w:val="none"/>
        </w:rPr>
        <w:t>基本电</w:t>
      </w:r>
      <w:r>
        <w:rPr>
          <w:rFonts w:hint="eastAsia" w:ascii="黑体" w:eastAsia="黑体"/>
          <w:kern w:val="0"/>
          <w:szCs w:val="21"/>
          <w:highlight w:val="none"/>
        </w:rPr>
        <w:t>气控制系统要求</w:t>
      </w:r>
    </w:p>
    <w:p w14:paraId="09917D18">
      <w:pPr>
        <w:widowControl/>
        <w:numPr>
          <w:ilvl w:val="5"/>
          <w:numId w:val="18"/>
        </w:numPr>
        <w:outlineLvl w:val="4"/>
        <w:rPr>
          <w:rFonts w:hint="eastAsia" w:ascii="宋体" w:hAnsi="宋体" w:cs="宋体"/>
          <w:highlight w:val="none"/>
        </w:rPr>
      </w:pPr>
      <w:bookmarkStart w:id="206" w:name="_Toc1093"/>
      <w:r>
        <w:rPr>
          <w:rFonts w:hint="eastAsia" w:ascii="宋体" w:hAnsi="宋体" w:cs="宋体"/>
          <w:highlight w:val="none"/>
        </w:rPr>
        <w:t>断路器应符合GB/T 14048.2的规定。</w:t>
      </w:r>
      <w:bookmarkEnd w:id="206"/>
    </w:p>
    <w:p w14:paraId="2D78AF6D">
      <w:pPr>
        <w:widowControl/>
        <w:numPr>
          <w:ilvl w:val="5"/>
          <w:numId w:val="18"/>
        </w:numPr>
        <w:outlineLvl w:val="4"/>
        <w:rPr>
          <w:rFonts w:hint="eastAsia" w:ascii="宋体" w:hAnsi="宋体" w:cs="宋体"/>
          <w:highlight w:val="none"/>
        </w:rPr>
      </w:pPr>
      <w:bookmarkStart w:id="207" w:name="_Toc11987"/>
      <w:r>
        <w:rPr>
          <w:rFonts w:hint="eastAsia" w:ascii="宋体" w:hAnsi="宋体" w:cs="宋体"/>
          <w:highlight w:val="none"/>
        </w:rPr>
        <w:t>开关、隔离器、隔离开关及熔断器组合电器应符合GB/T 14048.3的规定。</w:t>
      </w:r>
      <w:bookmarkEnd w:id="207"/>
    </w:p>
    <w:p w14:paraId="09EEBACC">
      <w:pPr>
        <w:widowControl/>
        <w:numPr>
          <w:ilvl w:val="5"/>
          <w:numId w:val="18"/>
        </w:numPr>
        <w:outlineLvl w:val="4"/>
        <w:rPr>
          <w:rFonts w:hint="eastAsia" w:ascii="宋体" w:hAnsi="宋体" w:cs="宋体"/>
          <w:kern w:val="0"/>
          <w:szCs w:val="21"/>
          <w:highlight w:val="none"/>
        </w:rPr>
      </w:pPr>
      <w:bookmarkStart w:id="208" w:name="_Toc11076"/>
      <w:bookmarkStart w:id="209" w:name="_Toc234307582"/>
      <w:r>
        <w:rPr>
          <w:highlight w:val="none"/>
        </w:rPr>
        <w:t>防护门开关与急停按钮的触点应接入安全继电器，并在控制回路中串联连接</w:t>
      </w:r>
      <w:r>
        <w:rPr>
          <w:rFonts w:hint="eastAsia"/>
          <w:highlight w:val="none"/>
        </w:rPr>
        <w:t>。</w:t>
      </w:r>
      <w:bookmarkEnd w:id="208"/>
      <w:bookmarkEnd w:id="209"/>
    </w:p>
    <w:p w14:paraId="2680E18D">
      <w:pPr>
        <w:widowControl/>
        <w:numPr>
          <w:ilvl w:val="4"/>
          <w:numId w:val="18"/>
        </w:numPr>
        <w:spacing w:before="156" w:beforeLines="50" w:after="156" w:afterLines="50"/>
        <w:outlineLvl w:val="3"/>
        <w:rPr>
          <w:rFonts w:ascii="黑体" w:eastAsia="黑体"/>
          <w:kern w:val="0"/>
          <w:szCs w:val="21"/>
          <w:highlight w:val="none"/>
        </w:rPr>
      </w:pPr>
      <w:r>
        <w:rPr>
          <w:rFonts w:ascii="黑体" w:eastAsia="黑体"/>
          <w:kern w:val="0"/>
          <w:szCs w:val="21"/>
          <w:highlight w:val="none"/>
        </w:rPr>
        <w:t>人机交互型控制系统</w:t>
      </w:r>
      <w:r>
        <w:rPr>
          <w:rFonts w:hint="eastAsia" w:ascii="黑体" w:eastAsia="黑体"/>
          <w:kern w:val="0"/>
          <w:szCs w:val="21"/>
          <w:highlight w:val="none"/>
        </w:rPr>
        <w:t>要求</w:t>
      </w:r>
    </w:p>
    <w:p w14:paraId="3959B5F7">
      <w:pPr>
        <w:widowControl/>
        <w:numPr>
          <w:ilvl w:val="5"/>
          <w:numId w:val="18"/>
        </w:numPr>
        <w:outlineLvl w:val="4"/>
        <w:rPr>
          <w:rFonts w:hint="eastAsia" w:ascii="宋体" w:hAnsi="宋体" w:cs="宋体"/>
          <w:kern w:val="0"/>
          <w:szCs w:val="21"/>
          <w:highlight w:val="none"/>
        </w:rPr>
      </w:pPr>
      <w:bookmarkStart w:id="210" w:name="_Toc32080"/>
      <w:bookmarkStart w:id="211" w:name="_Toc234307583"/>
      <w:r>
        <w:rPr>
          <w:rFonts w:ascii="宋体" w:hAnsi="宋体" w:cs="宋体"/>
          <w:kern w:val="0"/>
          <w:szCs w:val="21"/>
          <w:highlight w:val="none"/>
        </w:rPr>
        <w:t>P</w:t>
      </w:r>
      <w:bookmarkStart w:id="212" w:name="OLE_LINK5"/>
      <w:r>
        <w:rPr>
          <w:rFonts w:ascii="宋体" w:hAnsi="宋体" w:cs="宋体"/>
          <w:kern w:val="0"/>
          <w:szCs w:val="21"/>
          <w:highlight w:val="none"/>
        </w:rPr>
        <w:t>LC、人机界面、工</w:t>
      </w:r>
      <w:bookmarkEnd w:id="212"/>
      <w:r>
        <w:rPr>
          <w:rFonts w:ascii="宋体" w:hAnsi="宋体" w:cs="宋体"/>
          <w:kern w:val="0"/>
          <w:szCs w:val="21"/>
          <w:highlight w:val="none"/>
        </w:rPr>
        <w:t>控机</w:t>
      </w:r>
      <w:r>
        <w:rPr>
          <w:rFonts w:hint="eastAsia" w:ascii="宋体" w:hAnsi="宋体" w:cs="宋体"/>
          <w:kern w:val="0"/>
          <w:szCs w:val="21"/>
          <w:highlight w:val="none"/>
        </w:rPr>
        <w:t>和</w:t>
      </w:r>
      <w:r>
        <w:rPr>
          <w:rFonts w:ascii="宋体" w:hAnsi="宋体" w:cs="宋体"/>
          <w:kern w:val="0"/>
          <w:szCs w:val="21"/>
          <w:highlight w:val="none"/>
        </w:rPr>
        <w:t>传感器应符合GB/T 15969.2的</w:t>
      </w:r>
      <w:r>
        <w:rPr>
          <w:rFonts w:hint="eastAsia" w:ascii="宋体" w:hAnsi="宋体" w:cs="宋体"/>
          <w:kern w:val="0"/>
          <w:szCs w:val="21"/>
          <w:highlight w:val="none"/>
        </w:rPr>
        <w:t>规定</w:t>
      </w:r>
      <w:r>
        <w:rPr>
          <w:rFonts w:ascii="宋体" w:hAnsi="宋体" w:cs="宋体"/>
          <w:kern w:val="0"/>
          <w:szCs w:val="21"/>
          <w:highlight w:val="none"/>
        </w:rPr>
        <w:t>。</w:t>
      </w:r>
      <w:bookmarkEnd w:id="210"/>
      <w:bookmarkEnd w:id="211"/>
    </w:p>
    <w:p w14:paraId="41A6931B">
      <w:pPr>
        <w:widowControl/>
        <w:numPr>
          <w:ilvl w:val="5"/>
          <w:numId w:val="18"/>
        </w:numPr>
        <w:outlineLvl w:val="4"/>
        <w:rPr>
          <w:rFonts w:hint="eastAsia" w:ascii="宋体" w:hAnsi="宋体" w:cs="宋体"/>
          <w:kern w:val="0"/>
          <w:szCs w:val="21"/>
          <w:highlight w:val="none"/>
        </w:rPr>
      </w:pPr>
      <w:bookmarkStart w:id="213" w:name="_Toc15873"/>
      <w:bookmarkStart w:id="214" w:name="_Toc234307585"/>
      <w:r>
        <w:rPr>
          <w:rFonts w:ascii="宋体" w:hAnsi="宋体" w:cs="宋体"/>
          <w:kern w:val="0"/>
          <w:szCs w:val="21"/>
          <w:highlight w:val="none"/>
        </w:rPr>
        <w:t>控制软件应具备参数掉电保存功能，重新上电后</w:t>
      </w:r>
      <w:r>
        <w:rPr>
          <w:rFonts w:hint="eastAsia" w:ascii="宋体" w:hAnsi="宋体" w:cs="宋体"/>
          <w:kern w:val="0"/>
          <w:szCs w:val="21"/>
          <w:highlight w:val="none"/>
        </w:rPr>
        <w:t>应</w:t>
      </w:r>
      <w:r>
        <w:rPr>
          <w:rFonts w:ascii="宋体" w:hAnsi="宋体" w:cs="宋体"/>
          <w:kern w:val="0"/>
          <w:szCs w:val="21"/>
          <w:highlight w:val="none"/>
        </w:rPr>
        <w:t>自动恢复至断电前</w:t>
      </w:r>
      <w:r>
        <w:rPr>
          <w:rFonts w:hint="eastAsia" w:ascii="宋体" w:hAnsi="宋体" w:cs="宋体"/>
          <w:kern w:val="0"/>
          <w:szCs w:val="21"/>
          <w:highlight w:val="none"/>
        </w:rPr>
        <w:t>的参数</w:t>
      </w:r>
      <w:r>
        <w:rPr>
          <w:rFonts w:ascii="宋体" w:hAnsi="宋体" w:cs="宋体"/>
          <w:kern w:val="0"/>
          <w:szCs w:val="21"/>
          <w:highlight w:val="none"/>
        </w:rPr>
        <w:t>设定值。</w:t>
      </w:r>
      <w:bookmarkEnd w:id="213"/>
      <w:bookmarkEnd w:id="214"/>
    </w:p>
    <w:p w14:paraId="2E664C80">
      <w:pPr>
        <w:widowControl/>
        <w:numPr>
          <w:ilvl w:val="5"/>
          <w:numId w:val="18"/>
        </w:numPr>
        <w:outlineLvl w:val="4"/>
        <w:rPr>
          <w:rFonts w:hint="eastAsia" w:ascii="宋体" w:hAnsi="宋体" w:cs="宋体"/>
          <w:kern w:val="0"/>
          <w:szCs w:val="21"/>
          <w:highlight w:val="none"/>
        </w:rPr>
      </w:pPr>
      <w:bookmarkStart w:id="215" w:name="_Toc28831"/>
      <w:bookmarkStart w:id="216" w:name="_Toc234307586"/>
      <w:r>
        <w:rPr>
          <w:rFonts w:hint="eastAsia" w:ascii="宋体" w:hAnsi="宋体" w:cs="宋体"/>
          <w:kern w:val="0"/>
          <w:szCs w:val="21"/>
          <w:highlight w:val="none"/>
        </w:rPr>
        <w:t>通信</w:t>
      </w:r>
      <w:r>
        <w:rPr>
          <w:rFonts w:ascii="宋体" w:hAnsi="宋体" w:cs="宋体"/>
          <w:kern w:val="0"/>
          <w:szCs w:val="21"/>
          <w:highlight w:val="none"/>
        </w:rPr>
        <w:t>应符合GB/T 15969.5的要求</w:t>
      </w:r>
      <w:r>
        <w:rPr>
          <w:rFonts w:hint="eastAsia" w:ascii="宋体" w:hAnsi="宋体" w:cs="宋体"/>
          <w:kern w:val="0"/>
          <w:szCs w:val="21"/>
          <w:highlight w:val="none"/>
        </w:rPr>
        <w:t>。</w:t>
      </w:r>
      <w:r>
        <w:rPr>
          <w:rFonts w:ascii="宋体" w:hAnsi="宋体" w:cs="宋体"/>
          <w:kern w:val="0"/>
          <w:szCs w:val="21"/>
          <w:highlight w:val="none"/>
        </w:rPr>
        <w:t>PLC内部总线、现场总线</w:t>
      </w:r>
      <w:r>
        <w:rPr>
          <w:rFonts w:hint="eastAsia" w:ascii="宋体" w:hAnsi="宋体" w:cs="宋体"/>
          <w:kern w:val="0"/>
          <w:szCs w:val="21"/>
          <w:highlight w:val="none"/>
        </w:rPr>
        <w:t>和</w:t>
      </w:r>
      <w:r>
        <w:rPr>
          <w:rFonts w:ascii="宋体" w:hAnsi="宋体" w:cs="宋体"/>
          <w:kern w:val="0"/>
          <w:szCs w:val="21"/>
          <w:highlight w:val="none"/>
        </w:rPr>
        <w:t>上位机通信协议</w:t>
      </w:r>
      <w:r>
        <w:rPr>
          <w:rFonts w:hint="eastAsia" w:ascii="宋体" w:hAnsi="宋体" w:cs="宋体"/>
          <w:kern w:val="0"/>
          <w:szCs w:val="21"/>
          <w:highlight w:val="none"/>
        </w:rPr>
        <w:t>应</w:t>
      </w:r>
      <w:r>
        <w:rPr>
          <w:rFonts w:ascii="宋体" w:hAnsi="宋体" w:cs="宋体"/>
          <w:kern w:val="0"/>
          <w:szCs w:val="21"/>
          <w:highlight w:val="none"/>
        </w:rPr>
        <w:t>具备Modbus、Profinet、EtherNet/IP</w:t>
      </w:r>
      <w:r>
        <w:rPr>
          <w:rFonts w:hint="eastAsia" w:ascii="宋体" w:hAnsi="宋体" w:cs="宋体"/>
          <w:kern w:val="0"/>
          <w:szCs w:val="21"/>
          <w:highlight w:val="none"/>
        </w:rPr>
        <w:t>以及</w:t>
      </w:r>
      <w:r>
        <w:rPr>
          <w:rFonts w:ascii="宋体" w:hAnsi="宋体" w:cs="宋体"/>
          <w:kern w:val="0"/>
          <w:szCs w:val="21"/>
          <w:highlight w:val="none"/>
        </w:rPr>
        <w:t>Ethercat等总线协议。</w:t>
      </w:r>
      <w:bookmarkEnd w:id="215"/>
      <w:bookmarkEnd w:id="216"/>
    </w:p>
    <w:p w14:paraId="25918E3D">
      <w:pPr>
        <w:widowControl/>
        <w:numPr>
          <w:ilvl w:val="4"/>
          <w:numId w:val="18"/>
        </w:numPr>
        <w:spacing w:before="156" w:beforeLines="50" w:after="156" w:afterLines="50"/>
        <w:outlineLvl w:val="3"/>
        <w:rPr>
          <w:rFonts w:ascii="黑体" w:eastAsia="黑体"/>
          <w:kern w:val="0"/>
          <w:szCs w:val="21"/>
          <w:highlight w:val="none"/>
        </w:rPr>
      </w:pPr>
      <w:r>
        <w:rPr>
          <w:rFonts w:ascii="黑体" w:eastAsia="黑体"/>
          <w:kern w:val="0"/>
          <w:szCs w:val="21"/>
          <w:highlight w:val="none"/>
        </w:rPr>
        <w:t>网络数字化控制系统</w:t>
      </w:r>
      <w:r>
        <w:rPr>
          <w:rFonts w:hint="eastAsia" w:ascii="黑体" w:eastAsia="黑体"/>
          <w:kern w:val="0"/>
          <w:szCs w:val="21"/>
          <w:highlight w:val="none"/>
        </w:rPr>
        <w:t>要求</w:t>
      </w:r>
    </w:p>
    <w:p w14:paraId="5C0A756D">
      <w:pPr>
        <w:widowControl/>
        <w:numPr>
          <w:ilvl w:val="5"/>
          <w:numId w:val="18"/>
        </w:numPr>
        <w:outlineLvl w:val="4"/>
        <w:rPr>
          <w:rFonts w:hint="eastAsia" w:ascii="宋体" w:hAnsi="宋体"/>
          <w:kern w:val="0"/>
          <w:szCs w:val="21"/>
          <w:highlight w:val="none"/>
        </w:rPr>
      </w:pPr>
      <w:r>
        <w:rPr>
          <w:rFonts w:hint="eastAsia" w:ascii="宋体" w:hAnsi="宋体"/>
          <w:kern w:val="0"/>
          <w:szCs w:val="21"/>
          <w:highlight w:val="none"/>
        </w:rPr>
        <w:t>上粉机</w:t>
      </w:r>
      <w:r>
        <w:rPr>
          <w:rFonts w:hint="eastAsia" w:ascii="宋体" w:hAnsi="宋体" w:cs="宋体"/>
          <w:color w:val="000000"/>
          <w:kern w:val="0"/>
          <w:szCs w:val="20"/>
          <w:highlight w:val="none"/>
        </w:rPr>
        <w:t>与上位机</w:t>
      </w:r>
      <w:r>
        <w:rPr>
          <w:rFonts w:ascii="宋体" w:hAnsi="宋体"/>
          <w:kern w:val="0"/>
          <w:szCs w:val="21"/>
          <w:highlight w:val="none"/>
        </w:rPr>
        <w:t>的通</w:t>
      </w:r>
      <w:r>
        <w:rPr>
          <w:rFonts w:hint="eastAsia" w:ascii="宋体" w:hAnsi="宋体"/>
          <w:kern w:val="0"/>
          <w:szCs w:val="21"/>
          <w:highlight w:val="none"/>
        </w:rPr>
        <w:t>信</w:t>
      </w:r>
      <w:r>
        <w:rPr>
          <w:rFonts w:ascii="宋体" w:hAnsi="宋体"/>
          <w:kern w:val="0"/>
          <w:szCs w:val="21"/>
          <w:highlight w:val="none"/>
        </w:rPr>
        <w:t>应符合GB/T 45406的要求</w:t>
      </w:r>
      <w:r>
        <w:rPr>
          <w:rFonts w:hint="eastAsia" w:ascii="宋体" w:hAnsi="宋体"/>
          <w:kern w:val="0"/>
          <w:szCs w:val="21"/>
          <w:highlight w:val="none"/>
        </w:rPr>
        <w:t>。</w:t>
      </w:r>
    </w:p>
    <w:p w14:paraId="1847CA71">
      <w:pPr>
        <w:widowControl/>
        <w:numPr>
          <w:ilvl w:val="5"/>
          <w:numId w:val="18"/>
        </w:numPr>
        <w:outlineLvl w:val="4"/>
        <w:rPr>
          <w:rFonts w:hint="eastAsia" w:ascii="宋体" w:hAnsi="宋体"/>
          <w:kern w:val="0"/>
          <w:szCs w:val="21"/>
          <w:highlight w:val="none"/>
        </w:rPr>
      </w:pPr>
      <w:r>
        <w:rPr>
          <w:rFonts w:ascii="宋体" w:hAnsi="宋体"/>
          <w:kern w:val="0"/>
          <w:szCs w:val="21"/>
          <w:highlight w:val="none"/>
        </w:rPr>
        <w:t>网络接口应配置</w:t>
      </w:r>
      <w:r>
        <w:rPr>
          <w:rFonts w:hint="eastAsia" w:ascii="宋体" w:hAnsi="宋体"/>
          <w:kern w:val="0"/>
          <w:szCs w:val="21"/>
          <w:highlight w:val="none"/>
        </w:rPr>
        <w:t>至少</w:t>
      </w:r>
      <w:r>
        <w:rPr>
          <w:rFonts w:ascii="宋体" w:hAnsi="宋体"/>
          <w:kern w:val="0"/>
          <w:szCs w:val="21"/>
          <w:highlight w:val="none"/>
        </w:rPr>
        <w:t>1个RJ45</w:t>
      </w:r>
      <w:r>
        <w:rPr>
          <w:rFonts w:hint="eastAsia" w:ascii="宋体" w:hAnsi="宋体"/>
          <w:kern w:val="0"/>
          <w:szCs w:val="21"/>
          <w:highlight w:val="none"/>
        </w:rPr>
        <w:t>标准的</w:t>
      </w:r>
      <w:r>
        <w:rPr>
          <w:rFonts w:ascii="宋体" w:hAnsi="宋体"/>
          <w:kern w:val="0"/>
          <w:szCs w:val="21"/>
          <w:highlight w:val="none"/>
        </w:rPr>
        <w:t>工业以太网接口</w:t>
      </w:r>
      <w:r>
        <w:rPr>
          <w:rFonts w:hint="eastAsia" w:ascii="宋体" w:hAnsi="宋体"/>
          <w:kern w:val="0"/>
          <w:szCs w:val="21"/>
          <w:highlight w:val="none"/>
        </w:rPr>
        <w:t>。</w:t>
      </w:r>
    </w:p>
    <w:p w14:paraId="152DFD7C">
      <w:pPr>
        <w:widowControl/>
        <w:numPr>
          <w:ilvl w:val="5"/>
          <w:numId w:val="18"/>
        </w:numPr>
        <w:outlineLvl w:val="4"/>
        <w:rPr>
          <w:rFonts w:hint="eastAsia" w:ascii="宋体" w:hAnsi="宋体"/>
          <w:kern w:val="0"/>
          <w:szCs w:val="21"/>
          <w:highlight w:val="none"/>
        </w:rPr>
      </w:pPr>
      <w:r>
        <w:rPr>
          <w:rFonts w:ascii="宋体" w:hAnsi="宋体"/>
          <w:kern w:val="0"/>
          <w:szCs w:val="21"/>
          <w:highlight w:val="none"/>
        </w:rPr>
        <w:t>网络接口应配置独立的工业交换机或网络隔离模块，</w:t>
      </w:r>
      <w:r>
        <w:rPr>
          <w:rFonts w:hint="eastAsia" w:ascii="宋体" w:hAnsi="宋体"/>
          <w:kern w:val="0"/>
          <w:szCs w:val="21"/>
          <w:highlight w:val="none"/>
        </w:rPr>
        <w:t>并通过</w:t>
      </w:r>
      <w:r>
        <w:rPr>
          <w:rFonts w:ascii="宋体" w:hAnsi="宋体"/>
          <w:kern w:val="0"/>
          <w:szCs w:val="21"/>
          <w:highlight w:val="none"/>
        </w:rPr>
        <w:t>物理</w:t>
      </w:r>
      <w:r>
        <w:rPr>
          <w:rFonts w:hint="eastAsia" w:ascii="宋体" w:hAnsi="宋体"/>
          <w:kern w:val="0"/>
          <w:szCs w:val="21"/>
          <w:highlight w:val="none"/>
        </w:rPr>
        <w:t>方式</w:t>
      </w:r>
      <w:r>
        <w:rPr>
          <w:rFonts w:ascii="宋体" w:hAnsi="宋体"/>
          <w:kern w:val="0"/>
          <w:szCs w:val="21"/>
          <w:highlight w:val="none"/>
        </w:rPr>
        <w:t>或防火墙</w:t>
      </w:r>
      <w:r>
        <w:rPr>
          <w:rFonts w:hint="eastAsia" w:ascii="宋体" w:hAnsi="宋体"/>
          <w:kern w:val="0"/>
          <w:szCs w:val="21"/>
          <w:highlight w:val="none"/>
        </w:rPr>
        <w:t>技术</w:t>
      </w:r>
      <w:r>
        <w:rPr>
          <w:rFonts w:ascii="宋体" w:hAnsi="宋体"/>
          <w:kern w:val="0"/>
          <w:szCs w:val="21"/>
          <w:highlight w:val="none"/>
        </w:rPr>
        <w:t>隔离设备控制网络</w:t>
      </w:r>
      <w:r>
        <w:rPr>
          <w:rFonts w:hint="eastAsia" w:ascii="宋体" w:hAnsi="宋体"/>
          <w:kern w:val="0"/>
          <w:szCs w:val="21"/>
          <w:highlight w:val="none"/>
        </w:rPr>
        <w:t>和</w:t>
      </w:r>
      <w:r>
        <w:rPr>
          <w:rFonts w:ascii="宋体" w:hAnsi="宋体"/>
          <w:kern w:val="0"/>
          <w:szCs w:val="21"/>
          <w:highlight w:val="none"/>
        </w:rPr>
        <w:t>办公网络。</w:t>
      </w:r>
    </w:p>
    <w:p w14:paraId="20624CE0">
      <w:pPr>
        <w:widowControl/>
        <w:numPr>
          <w:ilvl w:val="5"/>
          <w:numId w:val="18"/>
        </w:numPr>
        <w:outlineLvl w:val="4"/>
        <w:rPr>
          <w:rFonts w:hint="eastAsia" w:ascii="宋体" w:hAnsi="宋体"/>
          <w:kern w:val="0"/>
          <w:szCs w:val="21"/>
          <w:highlight w:val="none"/>
        </w:rPr>
      </w:pPr>
      <w:r>
        <w:rPr>
          <w:rFonts w:ascii="宋体" w:hAnsi="宋体"/>
          <w:kern w:val="0"/>
          <w:szCs w:val="21"/>
          <w:highlight w:val="none"/>
        </w:rPr>
        <w:t>本地应具备</w:t>
      </w:r>
      <w:r>
        <w:rPr>
          <w:rFonts w:hint="eastAsia" w:ascii="宋体" w:hAnsi="宋体"/>
          <w:kern w:val="0"/>
          <w:szCs w:val="21"/>
          <w:highlight w:val="none"/>
        </w:rPr>
        <w:t>数据</w:t>
      </w:r>
      <w:r>
        <w:rPr>
          <w:rFonts w:ascii="宋体" w:hAnsi="宋体"/>
          <w:kern w:val="0"/>
          <w:szCs w:val="21"/>
          <w:highlight w:val="none"/>
        </w:rPr>
        <w:t>缓存能力</w:t>
      </w:r>
      <w:r>
        <w:rPr>
          <w:rFonts w:hint="eastAsia" w:ascii="宋体" w:hAnsi="宋体"/>
          <w:kern w:val="0"/>
          <w:szCs w:val="21"/>
          <w:highlight w:val="none"/>
        </w:rPr>
        <w:t>，</w:t>
      </w:r>
      <w:r>
        <w:rPr>
          <w:rFonts w:ascii="宋体" w:hAnsi="宋体"/>
          <w:kern w:val="0"/>
          <w:szCs w:val="21"/>
          <w:highlight w:val="none"/>
        </w:rPr>
        <w:t xml:space="preserve">缓存容量不少于72 </w:t>
      </w:r>
      <w:r>
        <w:rPr>
          <w:rFonts w:hint="eastAsia" w:ascii="宋体" w:hAnsi="宋体"/>
          <w:kern w:val="0"/>
          <w:szCs w:val="21"/>
          <w:highlight w:val="none"/>
        </w:rPr>
        <w:t>h</w:t>
      </w:r>
      <w:r>
        <w:rPr>
          <w:rFonts w:ascii="宋体" w:hAnsi="宋体"/>
          <w:kern w:val="0"/>
          <w:szCs w:val="21"/>
          <w:highlight w:val="none"/>
        </w:rPr>
        <w:t>的运行数据，</w:t>
      </w:r>
      <w:r>
        <w:rPr>
          <w:rFonts w:hint="eastAsia" w:ascii="宋体" w:hAnsi="宋体"/>
          <w:kern w:val="0"/>
          <w:szCs w:val="21"/>
          <w:highlight w:val="none"/>
        </w:rPr>
        <w:t>并且在</w:t>
      </w:r>
      <w:r>
        <w:rPr>
          <w:rFonts w:ascii="宋体" w:hAnsi="宋体"/>
          <w:kern w:val="0"/>
          <w:szCs w:val="21"/>
          <w:highlight w:val="none"/>
        </w:rPr>
        <w:t>网络中断期间数据不</w:t>
      </w:r>
      <w:r>
        <w:rPr>
          <w:rFonts w:hint="eastAsia" w:ascii="宋体" w:hAnsi="宋体"/>
          <w:kern w:val="0"/>
          <w:szCs w:val="21"/>
          <w:highlight w:val="none"/>
        </w:rPr>
        <w:t>应</w:t>
      </w:r>
      <w:r>
        <w:rPr>
          <w:rFonts w:ascii="宋体" w:hAnsi="宋体"/>
          <w:kern w:val="0"/>
          <w:szCs w:val="21"/>
          <w:highlight w:val="none"/>
        </w:rPr>
        <w:t>丢失，网络恢复后</w:t>
      </w:r>
      <w:r>
        <w:rPr>
          <w:rFonts w:hint="eastAsia" w:ascii="宋体" w:hAnsi="宋体"/>
          <w:kern w:val="0"/>
          <w:szCs w:val="21"/>
          <w:highlight w:val="none"/>
        </w:rPr>
        <w:t>可</w:t>
      </w:r>
      <w:r>
        <w:rPr>
          <w:rFonts w:ascii="宋体" w:hAnsi="宋体"/>
          <w:kern w:val="0"/>
          <w:szCs w:val="21"/>
          <w:highlight w:val="none"/>
        </w:rPr>
        <w:t>自动补传</w:t>
      </w:r>
      <w:r>
        <w:rPr>
          <w:rFonts w:hint="eastAsia" w:ascii="宋体" w:hAnsi="宋体"/>
          <w:kern w:val="0"/>
          <w:szCs w:val="21"/>
          <w:highlight w:val="none"/>
        </w:rPr>
        <w:t>数据</w:t>
      </w:r>
      <w:r>
        <w:rPr>
          <w:rFonts w:ascii="宋体" w:hAnsi="宋体"/>
          <w:kern w:val="0"/>
          <w:szCs w:val="21"/>
          <w:highlight w:val="none"/>
        </w:rPr>
        <w:t>。</w:t>
      </w:r>
    </w:p>
    <w:p w14:paraId="762BE425">
      <w:pPr>
        <w:widowControl/>
        <w:numPr>
          <w:ilvl w:val="5"/>
          <w:numId w:val="18"/>
        </w:numPr>
        <w:outlineLvl w:val="4"/>
        <w:rPr>
          <w:rFonts w:hint="eastAsia" w:ascii="宋体" w:hAnsi="宋体"/>
          <w:kern w:val="0"/>
          <w:szCs w:val="21"/>
          <w:highlight w:val="none"/>
        </w:rPr>
      </w:pPr>
      <w:r>
        <w:rPr>
          <w:rFonts w:ascii="宋体" w:hAnsi="宋体"/>
          <w:kern w:val="0"/>
          <w:szCs w:val="21"/>
          <w:highlight w:val="none"/>
        </w:rPr>
        <w:t>应能向MES实时上传</w:t>
      </w:r>
      <w:r>
        <w:rPr>
          <w:rFonts w:hint="eastAsia" w:ascii="宋体" w:hAnsi="宋体"/>
          <w:kern w:val="0"/>
          <w:szCs w:val="21"/>
          <w:highlight w:val="none"/>
        </w:rPr>
        <w:t>数据，数据</w:t>
      </w:r>
      <w:r>
        <w:rPr>
          <w:rFonts w:ascii="宋体" w:hAnsi="宋体"/>
          <w:kern w:val="0"/>
          <w:szCs w:val="21"/>
          <w:highlight w:val="none"/>
        </w:rPr>
        <w:t>采样周期不</w:t>
      </w:r>
      <w:r>
        <w:rPr>
          <w:rFonts w:hint="eastAsia" w:ascii="宋体" w:hAnsi="宋体"/>
          <w:kern w:val="0"/>
          <w:szCs w:val="21"/>
          <w:highlight w:val="none"/>
        </w:rPr>
        <w:t>应</w:t>
      </w:r>
      <w:r>
        <w:rPr>
          <w:rFonts w:ascii="宋体" w:hAnsi="宋体"/>
          <w:kern w:val="0"/>
          <w:szCs w:val="21"/>
          <w:highlight w:val="none"/>
        </w:rPr>
        <w:t>大于1</w:t>
      </w:r>
      <w:r>
        <w:rPr>
          <w:rFonts w:hint="eastAsia" w:ascii="宋体" w:hAnsi="宋体"/>
          <w:kern w:val="0"/>
          <w:szCs w:val="21"/>
          <w:highlight w:val="none"/>
        </w:rPr>
        <w:t xml:space="preserve"> </w:t>
      </w:r>
      <w:r>
        <w:rPr>
          <w:rFonts w:ascii="宋体" w:hAnsi="宋体"/>
          <w:kern w:val="0"/>
          <w:szCs w:val="21"/>
          <w:highlight w:val="none"/>
        </w:rPr>
        <w:t>s</w:t>
      </w:r>
      <w:r>
        <w:rPr>
          <w:rFonts w:hint="eastAsia" w:ascii="宋体" w:hAnsi="宋体"/>
          <w:kern w:val="0"/>
          <w:szCs w:val="21"/>
          <w:highlight w:val="none"/>
        </w:rPr>
        <w:t>。同时上粉机</w:t>
      </w:r>
      <w:r>
        <w:rPr>
          <w:rFonts w:ascii="宋体" w:hAnsi="宋体"/>
          <w:kern w:val="0"/>
          <w:szCs w:val="21"/>
          <w:highlight w:val="none"/>
        </w:rPr>
        <w:t>应在500</w:t>
      </w:r>
      <w:r>
        <w:rPr>
          <w:rFonts w:hint="eastAsia" w:ascii="宋体" w:hAnsi="宋体"/>
          <w:kern w:val="0"/>
          <w:szCs w:val="21"/>
          <w:highlight w:val="none"/>
        </w:rPr>
        <w:t xml:space="preserve"> </w:t>
      </w:r>
      <w:r>
        <w:rPr>
          <w:rFonts w:ascii="宋体" w:hAnsi="宋体"/>
          <w:kern w:val="0"/>
          <w:szCs w:val="21"/>
          <w:highlight w:val="none"/>
        </w:rPr>
        <w:t>ms内响应MES下发</w:t>
      </w:r>
      <w:r>
        <w:rPr>
          <w:rFonts w:hint="eastAsia" w:ascii="宋体" w:hAnsi="宋体"/>
          <w:kern w:val="0"/>
          <w:szCs w:val="21"/>
          <w:highlight w:val="none"/>
        </w:rPr>
        <w:t>的</w:t>
      </w:r>
      <w:r>
        <w:rPr>
          <w:rFonts w:ascii="宋体" w:hAnsi="宋体"/>
          <w:kern w:val="0"/>
          <w:szCs w:val="21"/>
          <w:highlight w:val="none"/>
        </w:rPr>
        <w:t>指令</w:t>
      </w:r>
      <w:r>
        <w:rPr>
          <w:rFonts w:hint="eastAsia" w:ascii="宋体" w:hAnsi="宋体"/>
          <w:kern w:val="0"/>
          <w:szCs w:val="21"/>
          <w:highlight w:val="none"/>
        </w:rPr>
        <w:t>（如</w:t>
      </w:r>
      <w:r>
        <w:rPr>
          <w:rFonts w:ascii="宋体" w:hAnsi="宋体"/>
          <w:kern w:val="0"/>
          <w:szCs w:val="21"/>
          <w:highlight w:val="none"/>
        </w:rPr>
        <w:t>工艺参数</w:t>
      </w:r>
      <w:r>
        <w:rPr>
          <w:rFonts w:hint="eastAsia" w:ascii="宋体" w:hAnsi="宋体"/>
          <w:kern w:val="0"/>
          <w:szCs w:val="21"/>
          <w:highlight w:val="none"/>
        </w:rPr>
        <w:t>更新、</w:t>
      </w:r>
      <w:r>
        <w:rPr>
          <w:rFonts w:ascii="宋体" w:hAnsi="宋体"/>
          <w:kern w:val="0"/>
          <w:szCs w:val="21"/>
          <w:highlight w:val="none"/>
        </w:rPr>
        <w:t>启动/停止指令</w:t>
      </w:r>
      <w:r>
        <w:rPr>
          <w:rFonts w:hint="eastAsia" w:ascii="宋体" w:hAnsi="宋体"/>
          <w:kern w:val="0"/>
          <w:szCs w:val="21"/>
          <w:highlight w:val="none"/>
        </w:rPr>
        <w:t>和</w:t>
      </w:r>
      <w:r>
        <w:rPr>
          <w:rFonts w:ascii="宋体" w:hAnsi="宋体"/>
          <w:kern w:val="0"/>
          <w:szCs w:val="21"/>
          <w:highlight w:val="none"/>
        </w:rPr>
        <w:t>批次信息</w:t>
      </w:r>
      <w:r>
        <w:rPr>
          <w:rFonts w:hint="eastAsia" w:ascii="宋体" w:hAnsi="宋体"/>
          <w:kern w:val="0"/>
          <w:szCs w:val="21"/>
          <w:highlight w:val="none"/>
        </w:rPr>
        <w:t>写入等）</w:t>
      </w:r>
      <w:r>
        <w:rPr>
          <w:rFonts w:ascii="宋体" w:hAnsi="宋体"/>
          <w:kern w:val="0"/>
          <w:szCs w:val="21"/>
          <w:highlight w:val="none"/>
        </w:rPr>
        <w:t>。</w:t>
      </w:r>
    </w:p>
    <w:p w14:paraId="0CDC572E">
      <w:pPr>
        <w:ind w:left="717" w:leftChars="170" w:hanging="360" w:hangingChars="200"/>
        <w:rPr>
          <w:rFonts w:hint="eastAsia" w:ascii="宋体" w:hAnsi="宋体"/>
          <w:color w:val="000000"/>
          <w:sz w:val="18"/>
          <w:szCs w:val="18"/>
          <w:highlight w:val="none"/>
        </w:rPr>
      </w:pPr>
      <w:r>
        <w:rPr>
          <w:rFonts w:hint="eastAsia" w:ascii="黑体" w:hAnsi="黑体" w:eastAsia="黑体"/>
          <w:color w:val="000000"/>
          <w:sz w:val="18"/>
          <w:szCs w:val="18"/>
          <w:highlight w:val="none"/>
        </w:rPr>
        <w:t>注：</w:t>
      </w:r>
      <w:r>
        <w:rPr>
          <w:rFonts w:ascii="宋体" w:hAnsi="宋体"/>
          <w:color w:val="000000"/>
          <w:sz w:val="18"/>
          <w:szCs w:val="18"/>
          <w:highlight w:val="none"/>
        </w:rPr>
        <w:t>远程控制权限</w:t>
      </w:r>
      <w:r>
        <w:rPr>
          <w:rFonts w:hint="eastAsia" w:ascii="宋体" w:hAnsi="宋体"/>
          <w:color w:val="000000"/>
          <w:sz w:val="18"/>
          <w:szCs w:val="18"/>
          <w:highlight w:val="none"/>
        </w:rPr>
        <w:t>应</w:t>
      </w:r>
      <w:r>
        <w:rPr>
          <w:rFonts w:ascii="宋体" w:hAnsi="宋体"/>
          <w:color w:val="000000"/>
          <w:sz w:val="18"/>
          <w:szCs w:val="18"/>
          <w:highlight w:val="none"/>
        </w:rPr>
        <w:t>由操作员在本地启用</w:t>
      </w:r>
      <w:r>
        <w:rPr>
          <w:rFonts w:hint="eastAsia" w:ascii="宋体" w:hAnsi="宋体"/>
          <w:color w:val="000000"/>
          <w:sz w:val="18"/>
          <w:szCs w:val="18"/>
          <w:highlight w:val="none"/>
        </w:rPr>
        <w:t>。</w:t>
      </w:r>
    </w:p>
    <w:bookmarkEnd w:id="112"/>
    <w:bookmarkEnd w:id="113"/>
    <w:bookmarkEnd w:id="114"/>
    <w:bookmarkEnd w:id="115"/>
    <w:bookmarkEnd w:id="116"/>
    <w:bookmarkEnd w:id="117"/>
    <w:p w14:paraId="7C093D60">
      <w:pPr>
        <w:widowControl/>
        <w:numPr>
          <w:ilvl w:val="2"/>
          <w:numId w:val="18"/>
        </w:numPr>
        <w:spacing w:before="156" w:beforeLines="50" w:after="156" w:afterLines="50"/>
        <w:outlineLvl w:val="1"/>
        <w:rPr>
          <w:rFonts w:ascii="黑体" w:eastAsia="黑体"/>
          <w:kern w:val="0"/>
          <w:szCs w:val="21"/>
          <w:highlight w:val="none"/>
        </w:rPr>
      </w:pPr>
      <w:bookmarkStart w:id="217" w:name="_Toc196241146"/>
      <w:bookmarkEnd w:id="217"/>
      <w:bookmarkStart w:id="218" w:name="_Toc196241134"/>
      <w:bookmarkEnd w:id="218"/>
      <w:bookmarkStart w:id="219" w:name="_Toc196241148"/>
      <w:bookmarkEnd w:id="219"/>
      <w:bookmarkStart w:id="220" w:name="_Toc196241144"/>
      <w:bookmarkEnd w:id="220"/>
      <w:bookmarkStart w:id="221" w:name="_Toc196241149"/>
      <w:bookmarkEnd w:id="221"/>
      <w:bookmarkStart w:id="222" w:name="_Toc196241141"/>
      <w:bookmarkEnd w:id="222"/>
      <w:bookmarkStart w:id="223" w:name="_Toc196241138"/>
      <w:bookmarkEnd w:id="223"/>
      <w:bookmarkStart w:id="224" w:name="_Toc196241143"/>
      <w:bookmarkEnd w:id="224"/>
      <w:bookmarkStart w:id="225" w:name="_Toc196241145"/>
      <w:bookmarkEnd w:id="225"/>
      <w:bookmarkStart w:id="226" w:name="_Toc196241147"/>
      <w:bookmarkEnd w:id="226"/>
      <w:bookmarkStart w:id="227" w:name="_Toc196241137"/>
      <w:bookmarkEnd w:id="227"/>
      <w:bookmarkStart w:id="228" w:name="_Toc196241140"/>
      <w:bookmarkEnd w:id="228"/>
      <w:bookmarkStart w:id="229" w:name="_Toc196241139"/>
      <w:bookmarkEnd w:id="229"/>
      <w:bookmarkStart w:id="230" w:name="_Toc196241135"/>
      <w:bookmarkEnd w:id="230"/>
      <w:bookmarkStart w:id="231" w:name="_Toc196241142"/>
      <w:bookmarkEnd w:id="231"/>
      <w:bookmarkStart w:id="232" w:name="_Toc196241150"/>
      <w:bookmarkEnd w:id="232"/>
      <w:bookmarkStart w:id="233" w:name="_Toc14815"/>
      <w:r>
        <w:rPr>
          <w:rFonts w:hint="eastAsia" w:ascii="黑体" w:eastAsia="黑体"/>
          <w:kern w:val="0"/>
          <w:szCs w:val="21"/>
          <w:highlight w:val="none"/>
        </w:rPr>
        <w:t>卫生安全要求</w:t>
      </w:r>
      <w:bookmarkEnd w:id="233"/>
    </w:p>
    <w:p w14:paraId="09847886">
      <w:pPr>
        <w:widowControl/>
        <w:numPr>
          <w:ilvl w:val="3"/>
          <w:numId w:val="18"/>
        </w:numPr>
        <w:outlineLvl w:val="2"/>
        <w:rPr>
          <w:rFonts w:hint="eastAsia" w:ascii="宋体" w:hAnsi="宋体" w:cs="宋体"/>
          <w:kern w:val="0"/>
          <w:szCs w:val="21"/>
          <w:highlight w:val="none"/>
        </w:rPr>
      </w:pPr>
      <w:bookmarkStart w:id="234" w:name="_Toc4935"/>
      <w:bookmarkStart w:id="235" w:name="_Toc25718"/>
      <w:bookmarkStart w:id="236" w:name="_Toc234307588"/>
      <w:r>
        <w:rPr>
          <w:rFonts w:hint="eastAsia" w:ascii="宋体" w:hAnsi="宋体" w:cs="宋体"/>
          <w:kern w:val="0"/>
          <w:szCs w:val="21"/>
          <w:highlight w:val="none"/>
        </w:rPr>
        <w:t>上粉机的安全卫生应符合GB 16798的规定。</w:t>
      </w:r>
      <w:bookmarkEnd w:id="234"/>
      <w:bookmarkEnd w:id="235"/>
      <w:bookmarkEnd w:id="236"/>
    </w:p>
    <w:p w14:paraId="3A106ED8">
      <w:pPr>
        <w:widowControl/>
        <w:numPr>
          <w:ilvl w:val="3"/>
          <w:numId w:val="18"/>
        </w:numPr>
        <w:outlineLvl w:val="2"/>
        <w:rPr>
          <w:rFonts w:hint="eastAsia" w:ascii="宋体" w:hAnsi="宋体" w:cs="宋体"/>
          <w:kern w:val="0"/>
          <w:szCs w:val="21"/>
          <w:highlight w:val="none"/>
        </w:rPr>
      </w:pPr>
      <w:bookmarkStart w:id="237" w:name="_Toc8157"/>
      <w:bookmarkStart w:id="238" w:name="_Toc24525"/>
      <w:bookmarkStart w:id="239" w:name="_Toc234307589"/>
      <w:r>
        <w:rPr>
          <w:rFonts w:hint="eastAsia" w:ascii="宋体" w:hAnsi="宋体" w:cs="宋体"/>
          <w:kern w:val="0"/>
          <w:szCs w:val="21"/>
          <w:highlight w:val="none"/>
        </w:rPr>
        <w:t>上粉机各润滑部分应润滑可靠，不应有渗漏油现象；</w:t>
      </w:r>
      <w:r>
        <w:rPr>
          <w:rFonts w:ascii="宋体" w:hAnsi="宋体" w:cs="宋体"/>
          <w:kern w:val="0"/>
          <w:szCs w:val="21"/>
          <w:highlight w:val="none"/>
        </w:rPr>
        <w:t>与食品接触的部件使用的</w:t>
      </w:r>
      <w:r>
        <w:rPr>
          <w:rFonts w:hint="eastAsia" w:ascii="宋体" w:hAnsi="宋体" w:cs="宋体"/>
          <w:kern w:val="0"/>
          <w:szCs w:val="21"/>
          <w:highlight w:val="none"/>
        </w:rPr>
        <w:t>润滑脂应符合GB 15179的规定。</w:t>
      </w:r>
      <w:bookmarkEnd w:id="237"/>
      <w:bookmarkEnd w:id="238"/>
      <w:bookmarkEnd w:id="239"/>
    </w:p>
    <w:p w14:paraId="237916DB">
      <w:pPr>
        <w:widowControl/>
        <w:numPr>
          <w:ilvl w:val="3"/>
          <w:numId w:val="18"/>
        </w:numPr>
        <w:outlineLvl w:val="2"/>
        <w:rPr>
          <w:rFonts w:hint="eastAsia" w:ascii="宋体" w:hAnsi="宋体" w:cs="宋体"/>
          <w:kern w:val="0"/>
          <w:szCs w:val="21"/>
          <w:highlight w:val="none"/>
        </w:rPr>
      </w:pPr>
      <w:bookmarkStart w:id="240" w:name="_Toc234307590"/>
      <w:bookmarkStart w:id="241" w:name="_Toc21653"/>
      <w:bookmarkStart w:id="242" w:name="_Toc18282"/>
      <w:r>
        <w:rPr>
          <w:rFonts w:hint="eastAsia" w:ascii="宋体" w:hAnsi="宋体" w:cs="宋体"/>
          <w:kern w:val="0"/>
          <w:szCs w:val="21"/>
          <w:highlight w:val="none"/>
        </w:rPr>
        <w:t>上粉机与食品直接接触的零部件表面应平整光滑，无死区，便于清洗。不可拆卸零部件应易于检查、保养和维护。</w:t>
      </w:r>
      <w:bookmarkEnd w:id="240"/>
      <w:bookmarkEnd w:id="241"/>
      <w:bookmarkEnd w:id="242"/>
    </w:p>
    <w:p w14:paraId="776EA6D9">
      <w:pPr>
        <w:ind w:left="717" w:leftChars="170" w:hanging="360" w:hangingChars="200"/>
        <w:rPr>
          <w:rFonts w:hint="eastAsia" w:ascii="宋体" w:hAnsi="宋体"/>
          <w:color w:val="000000"/>
          <w:sz w:val="18"/>
          <w:szCs w:val="18"/>
          <w:highlight w:val="none"/>
        </w:rPr>
      </w:pPr>
      <w:r>
        <w:rPr>
          <w:rFonts w:ascii="黑体" w:hAnsi="黑体" w:eastAsia="黑体"/>
          <w:color w:val="000000"/>
          <w:sz w:val="18"/>
          <w:szCs w:val="18"/>
          <w:highlight w:val="none"/>
        </w:rPr>
        <w:t>注：</w:t>
      </w:r>
      <w:r>
        <w:rPr>
          <w:rFonts w:ascii="宋体" w:hAnsi="宋体"/>
          <w:color w:val="000000"/>
          <w:sz w:val="18"/>
          <w:szCs w:val="18"/>
          <w:highlight w:val="none"/>
        </w:rPr>
        <w:t>死区是指清洗介质或清洗物不能达到的区域，即在清洗过程中，原料、产品、清洗剂、消毒剂或污物可能陷入、存留其中或不能被完全清除的区域。</w:t>
      </w:r>
    </w:p>
    <w:p w14:paraId="6B03C41F">
      <w:pPr>
        <w:widowControl/>
        <w:numPr>
          <w:ilvl w:val="3"/>
          <w:numId w:val="18"/>
        </w:numPr>
        <w:outlineLvl w:val="2"/>
        <w:rPr>
          <w:highlight w:val="none"/>
        </w:rPr>
      </w:pPr>
      <w:bookmarkStart w:id="243" w:name="_Toc117"/>
      <w:bookmarkStart w:id="244" w:name="_Toc30802"/>
      <w:r>
        <w:rPr>
          <w:rFonts w:hint="eastAsia"/>
          <w:highlight w:val="none"/>
        </w:rPr>
        <w:t>上粉机</w:t>
      </w:r>
      <w:r>
        <w:rPr>
          <w:highlight w:val="none"/>
        </w:rPr>
        <w:t>食品区域应与外界隔离，应有防护措施。外部零部件伸入食品区域处应设置可靠的密封，以免食品受到污染。</w:t>
      </w:r>
      <w:bookmarkEnd w:id="243"/>
      <w:bookmarkEnd w:id="244"/>
    </w:p>
    <w:p w14:paraId="0A87CBAE">
      <w:pPr>
        <w:widowControl/>
        <w:numPr>
          <w:ilvl w:val="2"/>
          <w:numId w:val="18"/>
        </w:numPr>
        <w:spacing w:before="156" w:beforeLines="50" w:after="156" w:afterLines="50"/>
        <w:outlineLvl w:val="1"/>
        <w:rPr>
          <w:rFonts w:ascii="黑体" w:eastAsia="黑体"/>
          <w:kern w:val="0"/>
          <w:szCs w:val="21"/>
          <w:highlight w:val="none"/>
        </w:rPr>
      </w:pPr>
      <w:bookmarkStart w:id="245" w:name="_Toc9049"/>
      <w:r>
        <w:rPr>
          <w:rFonts w:hint="eastAsia" w:ascii="黑体" w:eastAsia="黑体"/>
          <w:kern w:val="0"/>
          <w:szCs w:val="21"/>
          <w:highlight w:val="none"/>
        </w:rPr>
        <w:t>机械安全要求</w:t>
      </w:r>
      <w:bookmarkEnd w:id="245"/>
    </w:p>
    <w:p w14:paraId="169D93C7">
      <w:pPr>
        <w:widowControl/>
        <w:numPr>
          <w:ilvl w:val="3"/>
          <w:numId w:val="18"/>
        </w:numPr>
        <w:outlineLvl w:val="2"/>
        <w:rPr>
          <w:rFonts w:hint="eastAsia" w:ascii="宋体" w:hAnsi="宋体" w:cs="宋体"/>
          <w:kern w:val="0"/>
          <w:szCs w:val="21"/>
          <w:highlight w:val="none"/>
        </w:rPr>
      </w:pPr>
      <w:bookmarkStart w:id="246" w:name="_Toc3006"/>
      <w:bookmarkStart w:id="247" w:name="_Toc22396"/>
      <w:bookmarkStart w:id="248" w:name="_Toc234307592"/>
      <w:r>
        <w:rPr>
          <w:rFonts w:hint="eastAsia" w:ascii="宋体" w:hAnsi="宋体" w:cs="宋体"/>
          <w:kern w:val="0"/>
          <w:szCs w:val="21"/>
          <w:highlight w:val="none"/>
        </w:rPr>
        <w:t>上粉机</w:t>
      </w:r>
      <w:r>
        <w:rPr>
          <w:rFonts w:ascii="宋体" w:hAnsi="宋体" w:cs="宋体"/>
          <w:kern w:val="0"/>
          <w:szCs w:val="21"/>
          <w:highlight w:val="none"/>
        </w:rPr>
        <w:t>可能对人身或设备造成损伤的部位应采取相应的安全措施，安全防护装置应符合GB/T 8196的</w:t>
      </w:r>
      <w:r>
        <w:rPr>
          <w:rFonts w:hint="eastAsia" w:ascii="宋体" w:hAnsi="宋体" w:cs="宋体"/>
          <w:kern w:val="0"/>
          <w:szCs w:val="21"/>
          <w:highlight w:val="none"/>
        </w:rPr>
        <w:t>规定。</w:t>
      </w:r>
      <w:bookmarkEnd w:id="246"/>
      <w:bookmarkEnd w:id="247"/>
      <w:bookmarkEnd w:id="248"/>
    </w:p>
    <w:p w14:paraId="363AEA4C">
      <w:pPr>
        <w:widowControl/>
        <w:numPr>
          <w:ilvl w:val="3"/>
          <w:numId w:val="18"/>
        </w:numPr>
        <w:outlineLvl w:val="2"/>
        <w:rPr>
          <w:rFonts w:hint="eastAsia" w:ascii="宋体" w:hAnsi="宋体" w:cs="宋体"/>
          <w:kern w:val="0"/>
          <w:szCs w:val="21"/>
          <w:highlight w:val="none"/>
        </w:rPr>
      </w:pPr>
      <w:bookmarkStart w:id="249" w:name="_Toc20887"/>
      <w:bookmarkStart w:id="250" w:name="_Toc234307593"/>
      <w:bookmarkStart w:id="251" w:name="_Toc6087"/>
      <w:r>
        <w:rPr>
          <w:rFonts w:hint="eastAsia" w:ascii="宋体" w:hAnsi="宋体" w:cs="宋体"/>
          <w:kern w:val="0"/>
          <w:szCs w:val="21"/>
          <w:highlight w:val="none"/>
        </w:rPr>
        <w:t>上粉机的外</w:t>
      </w:r>
      <w:r>
        <w:rPr>
          <w:rFonts w:ascii="宋体" w:hAnsi="宋体" w:cs="宋体"/>
          <w:kern w:val="0"/>
          <w:szCs w:val="21"/>
          <w:highlight w:val="none"/>
        </w:rPr>
        <w:t>表面应光滑无毛刺</w:t>
      </w:r>
      <w:r>
        <w:rPr>
          <w:rFonts w:hint="eastAsia" w:ascii="宋体" w:hAnsi="宋体" w:cs="宋体"/>
          <w:kern w:val="0"/>
          <w:szCs w:val="21"/>
          <w:highlight w:val="none"/>
        </w:rPr>
        <w:t>，不应有明显的机械损伤和对人体造成伤害的尖角及棱边。</w:t>
      </w:r>
      <w:bookmarkEnd w:id="249"/>
      <w:bookmarkEnd w:id="250"/>
      <w:bookmarkEnd w:id="251"/>
    </w:p>
    <w:p w14:paraId="0D3B3782">
      <w:pPr>
        <w:widowControl/>
        <w:numPr>
          <w:ilvl w:val="3"/>
          <w:numId w:val="18"/>
        </w:numPr>
        <w:outlineLvl w:val="2"/>
        <w:rPr>
          <w:rFonts w:hint="eastAsia" w:ascii="宋体" w:hAnsi="宋体" w:cs="宋体"/>
          <w:kern w:val="0"/>
          <w:szCs w:val="21"/>
          <w:highlight w:val="none"/>
        </w:rPr>
      </w:pPr>
      <w:bookmarkStart w:id="252" w:name="_Toc4261"/>
      <w:bookmarkStart w:id="253" w:name="_Toc234307594"/>
      <w:bookmarkStart w:id="254" w:name="_Toc26463"/>
      <w:r>
        <w:rPr>
          <w:rFonts w:hint="eastAsia" w:ascii="宋体" w:hAnsi="宋体" w:cs="宋体"/>
          <w:kern w:val="0"/>
          <w:szCs w:val="21"/>
          <w:highlight w:val="none"/>
        </w:rPr>
        <w:t>上粉机</w:t>
      </w:r>
      <w:r>
        <w:rPr>
          <w:rFonts w:ascii="宋体" w:hAnsi="宋体" w:cs="宋体"/>
          <w:kern w:val="0"/>
          <w:szCs w:val="21"/>
          <w:highlight w:val="none"/>
        </w:rPr>
        <w:t>应有醒目的操纵、润滑等安全警示标志</w:t>
      </w:r>
      <w:r>
        <w:rPr>
          <w:rFonts w:hint="eastAsia" w:ascii="宋体" w:hAnsi="宋体" w:cs="宋体"/>
          <w:kern w:val="0"/>
          <w:szCs w:val="21"/>
          <w:highlight w:val="none"/>
        </w:rPr>
        <w:t>，安全标志应符合GB 2894的规定。</w:t>
      </w:r>
      <w:bookmarkEnd w:id="252"/>
      <w:bookmarkEnd w:id="253"/>
      <w:bookmarkEnd w:id="254"/>
    </w:p>
    <w:p w14:paraId="33CD3E29">
      <w:pPr>
        <w:widowControl/>
        <w:numPr>
          <w:ilvl w:val="3"/>
          <w:numId w:val="18"/>
        </w:numPr>
        <w:outlineLvl w:val="2"/>
        <w:rPr>
          <w:rFonts w:hint="eastAsia" w:ascii="宋体" w:hAnsi="宋体" w:cs="宋体"/>
          <w:kern w:val="0"/>
          <w:szCs w:val="21"/>
          <w:highlight w:val="none"/>
        </w:rPr>
      </w:pPr>
      <w:bookmarkStart w:id="255" w:name="_Toc14496"/>
      <w:bookmarkStart w:id="256" w:name="_Toc2015"/>
      <w:bookmarkStart w:id="257" w:name="_Toc234307595"/>
      <w:r>
        <w:rPr>
          <w:rFonts w:hint="eastAsia" w:ascii="宋体" w:hAnsi="宋体" w:cs="宋体"/>
          <w:kern w:val="0"/>
          <w:szCs w:val="21"/>
          <w:highlight w:val="none"/>
        </w:rPr>
        <w:t>上粉机</w:t>
      </w:r>
      <w:r>
        <w:rPr>
          <w:rFonts w:ascii="宋体" w:hAnsi="宋体" w:cs="宋体"/>
          <w:kern w:val="0"/>
          <w:szCs w:val="21"/>
          <w:highlight w:val="none"/>
        </w:rPr>
        <w:t>应确保负载启动的稳定性和过载保护的有效性，当</w:t>
      </w:r>
      <w:r>
        <w:rPr>
          <w:rFonts w:hint="eastAsia" w:ascii="宋体" w:hAnsi="宋体" w:cs="宋体"/>
          <w:kern w:val="0"/>
          <w:szCs w:val="21"/>
          <w:highlight w:val="none"/>
        </w:rPr>
        <w:t>上粉机出现异常状况时应能报警并立即停止运行。</w:t>
      </w:r>
      <w:bookmarkEnd w:id="255"/>
      <w:bookmarkEnd w:id="256"/>
      <w:bookmarkEnd w:id="257"/>
    </w:p>
    <w:p w14:paraId="63D66CC1">
      <w:pPr>
        <w:widowControl/>
        <w:numPr>
          <w:ilvl w:val="3"/>
          <w:numId w:val="18"/>
        </w:numPr>
        <w:outlineLvl w:val="2"/>
        <w:rPr>
          <w:rFonts w:hint="eastAsia" w:ascii="宋体" w:hAnsi="宋体" w:cs="宋体"/>
          <w:kern w:val="0"/>
          <w:szCs w:val="21"/>
          <w:highlight w:val="none"/>
        </w:rPr>
      </w:pPr>
      <w:bookmarkStart w:id="258" w:name="_Toc3184"/>
      <w:bookmarkStart w:id="259" w:name="_Toc234307596"/>
      <w:bookmarkStart w:id="260" w:name="_Toc30329"/>
      <w:r>
        <w:rPr>
          <w:rFonts w:hint="eastAsia" w:ascii="宋体" w:hAnsi="宋体" w:cs="宋体"/>
          <w:kern w:val="0"/>
          <w:szCs w:val="21"/>
          <w:highlight w:val="none"/>
        </w:rPr>
        <w:t>上粉机易脱落的零部件应有防松脱装置。各零件及螺栓、螺母等紧固件应可靠固定，不应因振动而松动和脱落。</w:t>
      </w:r>
      <w:bookmarkEnd w:id="258"/>
      <w:bookmarkEnd w:id="259"/>
      <w:bookmarkEnd w:id="260"/>
    </w:p>
    <w:p w14:paraId="34171B5B">
      <w:pPr>
        <w:widowControl/>
        <w:numPr>
          <w:ilvl w:val="2"/>
          <w:numId w:val="18"/>
        </w:numPr>
        <w:tabs>
          <w:tab w:val="left" w:pos="8197"/>
        </w:tabs>
        <w:spacing w:before="156" w:beforeLines="50" w:after="156" w:afterLines="50"/>
        <w:outlineLvl w:val="1"/>
        <w:rPr>
          <w:rFonts w:ascii="黑体" w:eastAsia="黑体"/>
          <w:kern w:val="0"/>
          <w:szCs w:val="21"/>
          <w:highlight w:val="none"/>
        </w:rPr>
      </w:pPr>
      <w:bookmarkStart w:id="261" w:name="_Toc186914351"/>
      <w:bookmarkEnd w:id="261"/>
      <w:bookmarkStart w:id="262" w:name="_Toc196241160"/>
      <w:bookmarkEnd w:id="262"/>
      <w:bookmarkStart w:id="263" w:name="_Toc196241154"/>
      <w:bookmarkEnd w:id="263"/>
      <w:bookmarkStart w:id="264" w:name="_Toc196241157"/>
      <w:bookmarkEnd w:id="264"/>
      <w:bookmarkStart w:id="265" w:name="_Toc196241166"/>
      <w:bookmarkEnd w:id="265"/>
      <w:bookmarkStart w:id="266" w:name="_Toc196241162"/>
      <w:bookmarkEnd w:id="266"/>
      <w:bookmarkStart w:id="267" w:name="_Toc196241163"/>
      <w:bookmarkEnd w:id="267"/>
      <w:bookmarkStart w:id="268" w:name="_Toc196241168"/>
      <w:bookmarkEnd w:id="268"/>
      <w:bookmarkStart w:id="269" w:name="_Toc196241156"/>
      <w:bookmarkEnd w:id="269"/>
      <w:bookmarkStart w:id="270" w:name="_Toc196241164"/>
      <w:bookmarkEnd w:id="270"/>
      <w:bookmarkStart w:id="271" w:name="_Toc196241161"/>
      <w:bookmarkEnd w:id="271"/>
      <w:bookmarkStart w:id="272" w:name="_Toc196241159"/>
      <w:bookmarkEnd w:id="272"/>
      <w:bookmarkStart w:id="273" w:name="_Toc196241165"/>
      <w:bookmarkEnd w:id="273"/>
      <w:bookmarkStart w:id="274" w:name="_Toc196241158"/>
      <w:bookmarkEnd w:id="274"/>
      <w:bookmarkStart w:id="275" w:name="_Toc196241155"/>
      <w:bookmarkEnd w:id="275"/>
      <w:bookmarkStart w:id="276" w:name="_Toc196241153"/>
      <w:bookmarkEnd w:id="276"/>
      <w:bookmarkStart w:id="277" w:name="_Toc186914353"/>
      <w:bookmarkEnd w:id="277"/>
      <w:bookmarkStart w:id="278" w:name="_Toc196241167"/>
      <w:bookmarkEnd w:id="278"/>
      <w:bookmarkStart w:id="279" w:name="_Toc196241169"/>
      <w:bookmarkEnd w:id="279"/>
      <w:bookmarkStart w:id="280" w:name="_Toc31789"/>
      <w:r>
        <w:rPr>
          <w:rFonts w:hint="eastAsia" w:ascii="黑体" w:eastAsia="黑体"/>
          <w:kern w:val="0"/>
          <w:szCs w:val="21"/>
          <w:highlight w:val="none"/>
        </w:rPr>
        <w:t>电气安全要求</w:t>
      </w:r>
      <w:bookmarkEnd w:id="280"/>
      <w:r>
        <w:rPr>
          <w:rFonts w:hint="eastAsia" w:ascii="黑体" w:eastAsia="黑体"/>
          <w:kern w:val="0"/>
          <w:szCs w:val="21"/>
          <w:highlight w:val="none"/>
        </w:rPr>
        <w:tab/>
      </w:r>
    </w:p>
    <w:p w14:paraId="75813378">
      <w:pPr>
        <w:widowControl/>
        <w:numPr>
          <w:ilvl w:val="3"/>
          <w:numId w:val="18"/>
        </w:numPr>
        <w:outlineLvl w:val="2"/>
        <w:rPr>
          <w:rFonts w:hint="eastAsia" w:ascii="宋体" w:hAnsi="宋体" w:cs="宋体"/>
          <w:kern w:val="0"/>
          <w:szCs w:val="21"/>
          <w:highlight w:val="none"/>
        </w:rPr>
      </w:pPr>
      <w:bookmarkStart w:id="281" w:name="_Toc234307599"/>
      <w:bookmarkStart w:id="282" w:name="_Toc16414"/>
      <w:bookmarkStart w:id="283" w:name="_Toc20017"/>
      <w:r>
        <w:rPr>
          <w:rFonts w:hint="eastAsia" w:ascii="宋体" w:hAnsi="宋体" w:cs="宋体"/>
          <w:kern w:val="0"/>
          <w:szCs w:val="21"/>
          <w:highlight w:val="none"/>
        </w:rPr>
        <w:t>上粉机电气安全应符合GB/T 5226.1的规定。</w:t>
      </w:r>
      <w:bookmarkEnd w:id="281"/>
      <w:bookmarkEnd w:id="282"/>
      <w:bookmarkEnd w:id="283"/>
    </w:p>
    <w:p w14:paraId="78A07262">
      <w:pPr>
        <w:widowControl/>
        <w:numPr>
          <w:ilvl w:val="3"/>
          <w:numId w:val="18"/>
        </w:numPr>
        <w:outlineLvl w:val="2"/>
        <w:rPr>
          <w:rFonts w:hint="eastAsia" w:ascii="宋体" w:hAnsi="宋体" w:cs="宋体"/>
          <w:kern w:val="0"/>
          <w:szCs w:val="21"/>
          <w:highlight w:val="none"/>
        </w:rPr>
      </w:pPr>
      <w:bookmarkStart w:id="284" w:name="_Toc31939"/>
      <w:bookmarkStart w:id="285" w:name="_Toc6493"/>
      <w:bookmarkStart w:id="286" w:name="_Toc234307600"/>
      <w:r>
        <w:rPr>
          <w:rFonts w:hint="eastAsia" w:ascii="宋体" w:hAnsi="宋体" w:cs="宋体"/>
          <w:kern w:val="0"/>
          <w:szCs w:val="21"/>
          <w:highlight w:val="none"/>
        </w:rPr>
        <w:t>上粉机电路控制系统应安全可靠、控制准确，电气线路接头应连接牢固并加以编号，导线不应裸露</w:t>
      </w:r>
      <w:r>
        <w:rPr>
          <w:rFonts w:ascii="宋体" w:hAnsi="宋体" w:cs="宋体"/>
          <w:kern w:val="0"/>
          <w:szCs w:val="21"/>
          <w:highlight w:val="none"/>
        </w:rPr>
        <w:t>，应有漏电保护装置</w:t>
      </w:r>
      <w:r>
        <w:rPr>
          <w:rFonts w:hint="eastAsia" w:ascii="宋体" w:hAnsi="宋体" w:cs="宋体"/>
          <w:kern w:val="0"/>
          <w:szCs w:val="21"/>
          <w:highlight w:val="none"/>
        </w:rPr>
        <w:t>。操作按钮应可靠，并有急停按钮，指示灯显示应正常。</w:t>
      </w:r>
      <w:bookmarkEnd w:id="284"/>
      <w:bookmarkEnd w:id="285"/>
      <w:bookmarkEnd w:id="286"/>
    </w:p>
    <w:p w14:paraId="3E511A1B">
      <w:pPr>
        <w:widowControl/>
        <w:numPr>
          <w:ilvl w:val="3"/>
          <w:numId w:val="18"/>
        </w:numPr>
        <w:outlineLvl w:val="2"/>
        <w:rPr>
          <w:rFonts w:hint="eastAsia" w:ascii="宋体" w:hAnsi="宋体" w:cs="宋体"/>
          <w:kern w:val="0"/>
          <w:szCs w:val="21"/>
          <w:highlight w:val="none"/>
        </w:rPr>
      </w:pPr>
      <w:bookmarkStart w:id="287" w:name="_Toc29797"/>
      <w:bookmarkStart w:id="288" w:name="_Toc10138"/>
      <w:bookmarkStart w:id="289" w:name="_Toc234307601"/>
      <w:r>
        <w:rPr>
          <w:rFonts w:hint="eastAsia" w:ascii="宋体" w:hAnsi="宋体" w:cs="宋体"/>
          <w:kern w:val="0"/>
          <w:szCs w:val="21"/>
          <w:highlight w:val="none"/>
        </w:rPr>
        <w:t>上粉机应有可靠的接地装置，并有明显的接地标志。上粉机接地端子或接地触点与接地金属部件之间的连接应具有低电阻，其电阻值不应大于0.1 Ω，</w:t>
      </w:r>
      <w:r>
        <w:rPr>
          <w:rFonts w:ascii="宋体" w:hAnsi="宋体" w:cs="宋体"/>
          <w:kern w:val="0"/>
          <w:szCs w:val="21"/>
          <w:highlight w:val="none"/>
        </w:rPr>
        <w:t>并有防腐蚀措施</w:t>
      </w:r>
      <w:r>
        <w:rPr>
          <w:rFonts w:hint="eastAsia" w:ascii="宋体" w:hAnsi="宋体" w:cs="宋体"/>
          <w:kern w:val="0"/>
          <w:szCs w:val="21"/>
          <w:highlight w:val="none"/>
        </w:rPr>
        <w:t>。</w:t>
      </w:r>
      <w:bookmarkEnd w:id="287"/>
      <w:bookmarkEnd w:id="288"/>
      <w:bookmarkEnd w:id="289"/>
    </w:p>
    <w:p w14:paraId="48634511">
      <w:pPr>
        <w:widowControl/>
        <w:numPr>
          <w:ilvl w:val="3"/>
          <w:numId w:val="18"/>
        </w:numPr>
        <w:outlineLvl w:val="2"/>
        <w:rPr>
          <w:rFonts w:hint="eastAsia" w:ascii="宋体" w:hAnsi="宋体" w:cs="宋体"/>
          <w:kern w:val="0"/>
          <w:szCs w:val="21"/>
          <w:highlight w:val="none"/>
        </w:rPr>
      </w:pPr>
      <w:bookmarkStart w:id="290" w:name="_Toc25305"/>
      <w:bookmarkStart w:id="291" w:name="_Toc22068"/>
      <w:bookmarkStart w:id="292" w:name="_Toc234307602"/>
      <w:r>
        <w:rPr>
          <w:rFonts w:hint="eastAsia" w:ascii="宋体" w:hAnsi="宋体" w:cs="宋体"/>
          <w:kern w:val="0"/>
          <w:szCs w:val="21"/>
          <w:highlight w:val="none"/>
        </w:rPr>
        <w:t>上粉机动力电路导线和保护联结电路间施加DC 500 V时测得的绝缘电阻不应小于1 MΩ。</w:t>
      </w:r>
      <w:bookmarkEnd w:id="290"/>
      <w:bookmarkEnd w:id="291"/>
      <w:bookmarkEnd w:id="292"/>
    </w:p>
    <w:p w14:paraId="235D6D0D">
      <w:pPr>
        <w:widowControl/>
        <w:numPr>
          <w:ilvl w:val="3"/>
          <w:numId w:val="18"/>
        </w:numPr>
        <w:outlineLvl w:val="2"/>
        <w:rPr>
          <w:rFonts w:hint="eastAsia" w:ascii="宋体" w:hAnsi="宋体" w:cs="宋体"/>
          <w:kern w:val="0"/>
          <w:szCs w:val="21"/>
          <w:highlight w:val="none"/>
        </w:rPr>
      </w:pPr>
      <w:bookmarkStart w:id="293" w:name="_Toc2232"/>
      <w:bookmarkStart w:id="294" w:name="_Toc14661"/>
      <w:bookmarkStart w:id="295" w:name="_Toc234307603"/>
      <w:r>
        <w:rPr>
          <w:rFonts w:hint="eastAsia" w:ascii="宋体" w:hAnsi="宋体" w:cs="宋体"/>
          <w:kern w:val="0"/>
          <w:szCs w:val="21"/>
          <w:highlight w:val="none"/>
        </w:rPr>
        <w:t>上粉机最大试验电压取两倍的电气设备额定电源电压值或1000 V中的较大者。在动力电路导线和保护联结电路间施加最大试验电压并保持至少1 s时间，不应出现击穿、放电现象。</w:t>
      </w:r>
      <w:bookmarkEnd w:id="293"/>
      <w:bookmarkEnd w:id="294"/>
      <w:bookmarkEnd w:id="295"/>
    </w:p>
    <w:p w14:paraId="522D5753">
      <w:pPr>
        <w:widowControl/>
        <w:numPr>
          <w:ilvl w:val="3"/>
          <w:numId w:val="18"/>
        </w:numPr>
        <w:outlineLvl w:val="2"/>
        <w:rPr>
          <w:rFonts w:hint="eastAsia" w:ascii="宋体" w:hAnsi="宋体" w:cs="宋体"/>
          <w:kern w:val="0"/>
          <w:szCs w:val="21"/>
          <w:highlight w:val="none"/>
        </w:rPr>
      </w:pPr>
      <w:bookmarkStart w:id="296" w:name="_Toc12122"/>
      <w:bookmarkStart w:id="297" w:name="_Toc4900"/>
      <w:bookmarkStart w:id="298" w:name="_Toc234307604"/>
      <w:r>
        <w:rPr>
          <w:rFonts w:hint="eastAsia" w:ascii="宋体" w:hAnsi="宋体" w:cs="宋体"/>
          <w:kern w:val="0"/>
          <w:szCs w:val="21"/>
          <w:highlight w:val="none"/>
        </w:rPr>
        <w:t>上粉机控制柜和现场安装的电器元件外壳和操作盘的安全防护应符合GB/T 4208的规定，电器元件外壳防护等级不应低于IP 55的要求，操作盘防护等级不应低于IP 65的要求。</w:t>
      </w:r>
      <w:bookmarkEnd w:id="296"/>
      <w:bookmarkEnd w:id="297"/>
      <w:bookmarkEnd w:id="298"/>
      <w:r>
        <w:rPr>
          <w:rFonts w:hint="eastAsia" w:ascii="宋体" w:hAnsi="宋体" w:cs="宋体"/>
          <w:kern w:val="0"/>
          <w:szCs w:val="21"/>
          <w:highlight w:val="none"/>
        </w:rPr>
        <w:t xml:space="preserve"> </w:t>
      </w:r>
    </w:p>
    <w:p w14:paraId="307BEF8F">
      <w:pPr>
        <w:numPr>
          <w:ilvl w:val="3"/>
          <w:numId w:val="18"/>
        </w:numPr>
        <w:outlineLvl w:val="2"/>
        <w:rPr>
          <w:rFonts w:hint="eastAsia" w:ascii="宋体" w:hAnsi="宋体"/>
          <w:kern w:val="0"/>
          <w:szCs w:val="21"/>
          <w:highlight w:val="none"/>
        </w:rPr>
      </w:pPr>
      <w:bookmarkStart w:id="299" w:name="_Toc14118"/>
      <w:bookmarkStart w:id="300" w:name="_Toc1281"/>
      <w:r>
        <w:rPr>
          <w:rFonts w:hint="eastAsia" w:ascii="宋体" w:hAnsi="宋体"/>
          <w:kern w:val="0"/>
          <w:highlight w:val="none"/>
        </w:rPr>
        <w:t>电气部件应有安全防水措施，配电箱经淋雨试验后电气绝缘性能应符合5.7.4的规定。</w:t>
      </w:r>
      <w:bookmarkEnd w:id="299"/>
      <w:bookmarkEnd w:id="300"/>
    </w:p>
    <w:p w14:paraId="1DA203B6">
      <w:pPr>
        <w:numPr>
          <w:ilvl w:val="3"/>
          <w:numId w:val="18"/>
        </w:numPr>
        <w:outlineLvl w:val="2"/>
        <w:rPr>
          <w:rFonts w:hint="eastAsia" w:ascii="宋体" w:hAnsi="宋体"/>
          <w:kern w:val="0"/>
          <w:highlight w:val="none"/>
        </w:rPr>
      </w:pPr>
      <w:bookmarkStart w:id="301" w:name="_Toc17852"/>
      <w:bookmarkStart w:id="302" w:name="_Toc12422"/>
      <w:r>
        <w:rPr>
          <w:rFonts w:hint="eastAsia" w:ascii="宋体" w:hAnsi="宋体"/>
          <w:kern w:val="0"/>
          <w:highlight w:val="none"/>
        </w:rPr>
        <w:t>上粉机供电电压与额定电压的偏差不应超过10%。</w:t>
      </w:r>
      <w:bookmarkEnd w:id="301"/>
      <w:bookmarkEnd w:id="302"/>
    </w:p>
    <w:p w14:paraId="6B7530E2">
      <w:pPr>
        <w:widowControl/>
        <w:numPr>
          <w:ilvl w:val="2"/>
          <w:numId w:val="18"/>
        </w:numPr>
        <w:spacing w:before="156" w:beforeLines="50" w:after="156" w:afterLines="50"/>
        <w:outlineLvl w:val="1"/>
        <w:rPr>
          <w:rFonts w:ascii="黑体" w:eastAsia="黑体"/>
          <w:kern w:val="0"/>
          <w:szCs w:val="21"/>
          <w:highlight w:val="none"/>
        </w:rPr>
      </w:pPr>
      <w:bookmarkStart w:id="303" w:name="_Toc196241174"/>
      <w:bookmarkEnd w:id="303"/>
      <w:bookmarkStart w:id="304" w:name="_Toc196241176"/>
      <w:bookmarkEnd w:id="304"/>
      <w:bookmarkStart w:id="305" w:name="_Toc196241175"/>
      <w:bookmarkEnd w:id="305"/>
      <w:bookmarkStart w:id="306" w:name="_Toc196241181"/>
      <w:bookmarkEnd w:id="306"/>
      <w:bookmarkStart w:id="307" w:name="_Toc196241172"/>
      <w:bookmarkEnd w:id="307"/>
      <w:bookmarkStart w:id="308" w:name="_Toc196241182"/>
      <w:bookmarkEnd w:id="308"/>
      <w:bookmarkStart w:id="309" w:name="_Toc196241183"/>
      <w:bookmarkEnd w:id="309"/>
      <w:bookmarkStart w:id="310" w:name="_Toc196241178"/>
      <w:bookmarkEnd w:id="310"/>
      <w:bookmarkStart w:id="311" w:name="_Toc196241184"/>
      <w:bookmarkEnd w:id="311"/>
      <w:bookmarkStart w:id="312" w:name="_Toc196241180"/>
      <w:bookmarkEnd w:id="312"/>
      <w:bookmarkStart w:id="313" w:name="_Toc196241177"/>
      <w:bookmarkEnd w:id="313"/>
      <w:bookmarkStart w:id="314" w:name="_Toc196241171"/>
      <w:bookmarkEnd w:id="314"/>
      <w:bookmarkStart w:id="315" w:name="_Toc196241179"/>
      <w:bookmarkEnd w:id="315"/>
      <w:bookmarkStart w:id="316" w:name="_Toc21110899"/>
      <w:bookmarkStart w:id="317" w:name="_Toc22888908"/>
      <w:bookmarkStart w:id="318" w:name="_Toc186914359"/>
      <w:bookmarkStart w:id="319" w:name="_Toc144801478"/>
      <w:bookmarkStart w:id="320" w:name="_Toc45616776"/>
      <w:bookmarkStart w:id="321" w:name="_Toc7379"/>
      <w:bookmarkStart w:id="322" w:name="_Toc139898229"/>
      <w:r>
        <w:rPr>
          <w:rFonts w:hint="eastAsia" w:ascii="黑体" w:eastAsia="黑体"/>
          <w:kern w:val="0"/>
          <w:szCs w:val="21"/>
          <w:highlight w:val="none"/>
        </w:rPr>
        <w:t>性能要求</w:t>
      </w:r>
      <w:bookmarkEnd w:id="316"/>
      <w:bookmarkEnd w:id="317"/>
      <w:bookmarkEnd w:id="318"/>
      <w:bookmarkEnd w:id="319"/>
      <w:bookmarkEnd w:id="320"/>
      <w:bookmarkEnd w:id="321"/>
      <w:bookmarkEnd w:id="322"/>
    </w:p>
    <w:p w14:paraId="09E15128">
      <w:pPr>
        <w:keepNext w:val="0"/>
        <w:keepLines w:val="0"/>
        <w:pageBreakBefore w:val="0"/>
        <w:widowControl/>
        <w:numPr>
          <w:ilvl w:val="3"/>
          <w:numId w:val="18"/>
        </w:numPr>
        <w:kinsoku/>
        <w:wordWrap/>
        <w:overflowPunct/>
        <w:topLinePunct w:val="0"/>
        <w:autoSpaceDE/>
        <w:autoSpaceDN/>
        <w:bidi w:val="0"/>
        <w:adjustRightInd/>
        <w:snapToGrid/>
        <w:spacing w:before="156" w:beforeLines="50" w:after="156" w:afterLines="50"/>
        <w:textAlignment w:val="auto"/>
        <w:outlineLvl w:val="2"/>
        <w:rPr>
          <w:rFonts w:ascii="黑体" w:eastAsia="黑体"/>
          <w:kern w:val="0"/>
          <w:szCs w:val="21"/>
          <w:highlight w:val="none"/>
        </w:rPr>
      </w:pPr>
      <w:bookmarkStart w:id="323" w:name="_Toc30023"/>
      <w:bookmarkStart w:id="324" w:name="_Toc234307606"/>
      <w:bookmarkStart w:id="325" w:name="_Toc30451"/>
      <w:bookmarkStart w:id="326" w:name="_Toc196241186"/>
      <w:bookmarkStart w:id="327" w:name="_Toc186914360"/>
      <w:bookmarkStart w:id="328" w:name="_Hlk191051083"/>
      <w:r>
        <w:rPr>
          <w:rFonts w:hint="eastAsia" w:ascii="黑体" w:eastAsia="黑体"/>
          <w:kern w:val="0"/>
          <w:szCs w:val="21"/>
          <w:highlight w:val="none"/>
        </w:rPr>
        <w:t>空载运行要求</w:t>
      </w:r>
      <w:bookmarkEnd w:id="323"/>
      <w:bookmarkEnd w:id="324"/>
      <w:bookmarkEnd w:id="325"/>
      <w:bookmarkEnd w:id="326"/>
    </w:p>
    <w:p w14:paraId="23F3132C">
      <w:pPr>
        <w:ind w:firstLine="420" w:firstLineChars="200"/>
        <w:rPr>
          <w:rFonts w:hint="eastAsia" w:ascii="宋体" w:hAnsi="宋体" w:cs="宋体"/>
          <w:highlight w:val="none"/>
        </w:rPr>
      </w:pPr>
      <w:r>
        <w:rPr>
          <w:rFonts w:hint="eastAsia" w:ascii="宋体" w:hAnsi="宋体" w:cs="宋体"/>
          <w:bCs/>
          <w:szCs w:val="22"/>
          <w:highlight w:val="none"/>
        </w:rPr>
        <w:t>上粉机</w:t>
      </w:r>
      <w:r>
        <w:rPr>
          <w:rFonts w:hint="eastAsia" w:ascii="宋体" w:hAnsi="宋体" w:cs="宋体"/>
          <w:highlight w:val="none"/>
        </w:rPr>
        <w:t>安装完毕后，应进行空载运行。</w:t>
      </w:r>
      <w:r>
        <w:rPr>
          <w:rFonts w:hint="eastAsia" w:ascii="宋体" w:hAnsi="宋体" w:cs="宋体"/>
          <w:bCs/>
          <w:szCs w:val="22"/>
          <w:highlight w:val="none"/>
        </w:rPr>
        <w:t>上粉机</w:t>
      </w:r>
      <w:r>
        <w:rPr>
          <w:rFonts w:hint="eastAsia" w:ascii="宋体" w:hAnsi="宋体" w:cs="宋体"/>
          <w:highlight w:val="none"/>
        </w:rPr>
        <w:t>应启动灵活，运转平稳，各运动机构动作应准确，无卡滞</w:t>
      </w:r>
      <w:r>
        <w:rPr>
          <w:rFonts w:ascii="宋体" w:hAnsi="宋体" w:cs="宋体"/>
          <w:highlight w:val="none"/>
        </w:rPr>
        <w:t>、阻滞、异常噪音和异常发热现象</w:t>
      </w:r>
      <w:r>
        <w:rPr>
          <w:rFonts w:hint="eastAsia" w:ascii="宋体" w:hAnsi="宋体" w:cs="宋体"/>
          <w:highlight w:val="none"/>
        </w:rPr>
        <w:t>，操作开关、报警装置和过载保护装置应灵敏可靠。</w:t>
      </w:r>
    </w:p>
    <w:p w14:paraId="3F3335D5">
      <w:pPr>
        <w:keepNext w:val="0"/>
        <w:keepLines w:val="0"/>
        <w:pageBreakBefore w:val="0"/>
        <w:widowControl/>
        <w:numPr>
          <w:ilvl w:val="3"/>
          <w:numId w:val="18"/>
        </w:numPr>
        <w:kinsoku/>
        <w:wordWrap/>
        <w:overflowPunct/>
        <w:topLinePunct w:val="0"/>
        <w:autoSpaceDE/>
        <w:autoSpaceDN/>
        <w:bidi w:val="0"/>
        <w:adjustRightInd/>
        <w:snapToGrid/>
        <w:spacing w:before="156" w:beforeLines="50" w:after="156" w:afterLines="50"/>
        <w:textAlignment w:val="auto"/>
        <w:outlineLvl w:val="2"/>
        <w:rPr>
          <w:rFonts w:ascii="黑体" w:eastAsia="黑体"/>
          <w:kern w:val="0"/>
          <w:szCs w:val="21"/>
          <w:highlight w:val="none"/>
        </w:rPr>
      </w:pPr>
      <w:bookmarkStart w:id="329" w:name="_Toc1359"/>
      <w:bookmarkStart w:id="330" w:name="_Toc196241187"/>
      <w:bookmarkStart w:id="331" w:name="_Toc234307607"/>
      <w:bookmarkStart w:id="332" w:name="_Toc21144"/>
      <w:r>
        <w:rPr>
          <w:rFonts w:hint="eastAsia" w:ascii="黑体" w:eastAsia="黑体"/>
          <w:kern w:val="0"/>
          <w:szCs w:val="21"/>
          <w:highlight w:val="none"/>
        </w:rPr>
        <w:t>负载运行要求</w:t>
      </w:r>
      <w:bookmarkEnd w:id="329"/>
      <w:bookmarkEnd w:id="330"/>
      <w:bookmarkEnd w:id="331"/>
      <w:bookmarkEnd w:id="332"/>
    </w:p>
    <w:p w14:paraId="2AA504B9">
      <w:pPr>
        <w:ind w:firstLine="420" w:firstLineChars="200"/>
        <w:rPr>
          <w:rFonts w:hint="eastAsia" w:ascii="宋体" w:hAnsi="宋体" w:cs="宋体"/>
          <w:highlight w:val="none"/>
        </w:rPr>
      </w:pPr>
      <w:r>
        <w:rPr>
          <w:rFonts w:hint="eastAsia" w:ascii="宋体" w:hAnsi="宋体" w:cs="宋体"/>
          <w:kern w:val="0"/>
          <w:szCs w:val="21"/>
          <w:highlight w:val="none"/>
        </w:rPr>
        <w:t>上粉机</w:t>
      </w:r>
      <w:r>
        <w:rPr>
          <w:rFonts w:hint="eastAsia" w:ascii="宋体" w:hAnsi="宋体" w:cs="宋体"/>
          <w:highlight w:val="none"/>
        </w:rPr>
        <w:t>的性能参数应符合表1的规定。</w:t>
      </w:r>
      <w:bookmarkEnd w:id="327"/>
    </w:p>
    <w:p w14:paraId="17B2E69B">
      <w:pPr>
        <w:pStyle w:val="8"/>
        <w:spacing w:before="0" w:after="0" w:line="400" w:lineRule="exact"/>
        <w:jc w:val="center"/>
        <w:rPr>
          <w:rFonts w:hint="eastAsia" w:ascii="黑体" w:hAnsi="黑体" w:cs="黑体"/>
          <w:sz w:val="21"/>
          <w:szCs w:val="21"/>
          <w:highlight w:val="none"/>
        </w:rPr>
      </w:pPr>
      <w:r>
        <w:rPr>
          <w:rFonts w:hint="eastAsia" w:ascii="黑体" w:hAnsi="黑体" w:cs="黑体"/>
          <w:sz w:val="21"/>
          <w:szCs w:val="21"/>
          <w:highlight w:val="none"/>
        </w:rPr>
        <w:t xml:space="preserve">表 </w:t>
      </w:r>
      <w:r>
        <w:rPr>
          <w:rFonts w:hint="eastAsia" w:ascii="黑体" w:hAnsi="黑体" w:cs="黑体"/>
          <w:sz w:val="21"/>
          <w:szCs w:val="21"/>
          <w:highlight w:val="none"/>
        </w:rPr>
        <w:fldChar w:fldCharType="begin"/>
      </w:r>
      <w:r>
        <w:rPr>
          <w:rFonts w:hint="eastAsia" w:ascii="黑体" w:hAnsi="黑体" w:cs="黑体"/>
          <w:sz w:val="21"/>
          <w:szCs w:val="21"/>
          <w:highlight w:val="none"/>
        </w:rPr>
        <w:instrText xml:space="preserve"> SEQ 表 \* ARABIC </w:instrText>
      </w:r>
      <w:r>
        <w:rPr>
          <w:rFonts w:hint="eastAsia" w:ascii="黑体" w:hAnsi="黑体" w:cs="黑体"/>
          <w:sz w:val="21"/>
          <w:szCs w:val="21"/>
          <w:highlight w:val="none"/>
        </w:rPr>
        <w:fldChar w:fldCharType="separate"/>
      </w:r>
      <w:r>
        <w:rPr>
          <w:rFonts w:hint="eastAsia" w:ascii="黑体" w:hAnsi="黑体" w:cs="黑体"/>
          <w:sz w:val="21"/>
          <w:szCs w:val="21"/>
          <w:highlight w:val="none"/>
        </w:rPr>
        <w:t>1</w:t>
      </w:r>
      <w:r>
        <w:rPr>
          <w:rFonts w:hint="eastAsia" w:ascii="黑体" w:hAnsi="黑体" w:cs="黑体"/>
          <w:sz w:val="21"/>
          <w:szCs w:val="21"/>
          <w:highlight w:val="none"/>
        </w:rPr>
        <w:fldChar w:fldCharType="end"/>
      </w:r>
      <w:bookmarkStart w:id="333" w:name="_Toc22555"/>
      <w:r>
        <w:rPr>
          <w:rFonts w:hint="eastAsia" w:ascii="黑体" w:hAnsi="黑体" w:cs="黑体"/>
          <w:sz w:val="21"/>
          <w:szCs w:val="21"/>
          <w:highlight w:val="none"/>
        </w:rPr>
        <w:t xml:space="preserve"> 基本参数</w:t>
      </w:r>
      <w:bookmarkEnd w:id="333"/>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2246"/>
        <w:gridCol w:w="2354"/>
        <w:gridCol w:w="2354"/>
      </w:tblGrid>
      <w:tr w14:paraId="74FE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vMerge w:val="restart"/>
            <w:vAlign w:val="center"/>
          </w:tcPr>
          <w:p w14:paraId="45458108">
            <w:pPr>
              <w:jc w:val="center"/>
              <w:rPr>
                <w:rFonts w:hint="eastAsia" w:ascii="宋体" w:hAnsi="宋体"/>
                <w:bCs/>
                <w:sz w:val="18"/>
                <w:szCs w:val="18"/>
                <w:highlight w:val="none"/>
              </w:rPr>
            </w:pPr>
            <w:r>
              <w:rPr>
                <w:rFonts w:hint="eastAsia" w:ascii="宋体" w:hAnsi="宋体"/>
                <w:bCs/>
                <w:sz w:val="18"/>
                <w:szCs w:val="18"/>
                <w:highlight w:val="none"/>
              </w:rPr>
              <w:t>名称</w:t>
            </w:r>
          </w:p>
        </w:tc>
        <w:tc>
          <w:tcPr>
            <w:tcW w:w="4708" w:type="dxa"/>
            <w:gridSpan w:val="2"/>
            <w:vAlign w:val="center"/>
          </w:tcPr>
          <w:p w14:paraId="1673D6A4">
            <w:pPr>
              <w:jc w:val="center"/>
              <w:rPr>
                <w:rFonts w:hint="eastAsia" w:ascii="宋体" w:hAnsi="宋体"/>
                <w:bCs/>
                <w:sz w:val="18"/>
                <w:szCs w:val="18"/>
                <w:highlight w:val="none"/>
              </w:rPr>
            </w:pPr>
            <w:r>
              <w:rPr>
                <w:rFonts w:hint="eastAsia" w:ascii="宋体" w:hAnsi="宋体"/>
                <w:bCs/>
                <w:sz w:val="18"/>
                <w:szCs w:val="18"/>
                <w:highlight w:val="none"/>
              </w:rPr>
              <w:t>参数</w:t>
            </w:r>
          </w:p>
        </w:tc>
      </w:tr>
      <w:tr w14:paraId="63D5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vMerge w:val="continue"/>
            <w:vAlign w:val="center"/>
          </w:tcPr>
          <w:p w14:paraId="52C69CB8">
            <w:pPr>
              <w:jc w:val="center"/>
              <w:rPr>
                <w:rFonts w:hint="eastAsia" w:ascii="宋体" w:hAnsi="宋体"/>
                <w:bCs/>
                <w:sz w:val="18"/>
                <w:szCs w:val="18"/>
                <w:highlight w:val="none"/>
              </w:rPr>
            </w:pPr>
          </w:p>
        </w:tc>
        <w:tc>
          <w:tcPr>
            <w:tcW w:w="2354" w:type="dxa"/>
            <w:vAlign w:val="center"/>
          </w:tcPr>
          <w:p w14:paraId="287720C7">
            <w:pPr>
              <w:jc w:val="center"/>
              <w:rPr>
                <w:rFonts w:hint="eastAsia" w:ascii="宋体" w:hAnsi="宋体"/>
                <w:bCs/>
                <w:sz w:val="18"/>
                <w:szCs w:val="18"/>
                <w:highlight w:val="none"/>
              </w:rPr>
            </w:pPr>
            <w:r>
              <w:rPr>
                <w:rFonts w:hint="eastAsia" w:ascii="宋体" w:hAnsi="宋体"/>
                <w:bCs/>
                <w:sz w:val="18"/>
                <w:szCs w:val="18"/>
                <w:highlight w:val="none"/>
              </w:rPr>
              <w:t>平板式上粉机</w:t>
            </w:r>
          </w:p>
        </w:tc>
        <w:tc>
          <w:tcPr>
            <w:tcW w:w="2354" w:type="dxa"/>
            <w:vAlign w:val="center"/>
          </w:tcPr>
          <w:p w14:paraId="7D313547">
            <w:pPr>
              <w:jc w:val="center"/>
              <w:rPr>
                <w:rFonts w:hint="eastAsia" w:ascii="宋体" w:hAnsi="宋体"/>
                <w:bCs/>
                <w:sz w:val="18"/>
                <w:szCs w:val="18"/>
                <w:highlight w:val="none"/>
              </w:rPr>
            </w:pPr>
            <w:r>
              <w:rPr>
                <w:rFonts w:hint="eastAsia" w:ascii="宋体" w:hAnsi="宋体"/>
                <w:bCs/>
                <w:sz w:val="18"/>
                <w:szCs w:val="18"/>
                <w:highlight w:val="none"/>
              </w:rPr>
              <w:t>滚筒式上粉机</w:t>
            </w:r>
          </w:p>
        </w:tc>
      </w:tr>
      <w:tr w14:paraId="1A7B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576" w:type="dxa"/>
            <w:gridSpan w:val="2"/>
            <w:vAlign w:val="center"/>
          </w:tcPr>
          <w:p w14:paraId="1C3844FF">
            <w:pPr>
              <w:jc w:val="center"/>
              <w:rPr>
                <w:rFonts w:hint="eastAsia" w:ascii="宋体" w:hAnsi="宋体"/>
                <w:bCs/>
                <w:sz w:val="18"/>
                <w:szCs w:val="18"/>
                <w:highlight w:val="none"/>
              </w:rPr>
            </w:pPr>
            <w:r>
              <w:rPr>
                <w:rFonts w:hint="eastAsia" w:ascii="宋体" w:hAnsi="宋体"/>
                <w:bCs/>
                <w:sz w:val="18"/>
                <w:szCs w:val="18"/>
                <w:highlight w:val="none"/>
              </w:rPr>
              <w:t>生产能力 kg/h</w:t>
            </w:r>
          </w:p>
        </w:tc>
        <w:tc>
          <w:tcPr>
            <w:tcW w:w="2354" w:type="dxa"/>
            <w:vAlign w:val="center"/>
          </w:tcPr>
          <w:p w14:paraId="35BB9A4B">
            <w:pPr>
              <w:jc w:val="center"/>
              <w:rPr>
                <w:rFonts w:hint="eastAsia" w:ascii="宋体" w:hAnsi="宋体"/>
                <w:bCs/>
                <w:sz w:val="18"/>
                <w:szCs w:val="18"/>
                <w:highlight w:val="none"/>
              </w:rPr>
            </w:pPr>
            <w:r>
              <w:rPr>
                <w:rFonts w:hint="eastAsia" w:ascii="宋体" w:hAnsi="宋体"/>
                <w:bCs/>
                <w:sz w:val="18"/>
                <w:szCs w:val="18"/>
                <w:highlight w:val="none"/>
              </w:rPr>
              <w:t>1 200</w:t>
            </w:r>
            <w:r>
              <w:rPr>
                <w:bCs/>
                <w:sz w:val="18"/>
                <w:szCs w:val="18"/>
                <w:highlight w:val="none"/>
              </w:rPr>
              <w:t>~</w:t>
            </w:r>
            <w:r>
              <w:rPr>
                <w:rFonts w:hint="eastAsia" w:ascii="宋体" w:hAnsi="宋体"/>
                <w:bCs/>
                <w:sz w:val="18"/>
                <w:szCs w:val="18"/>
                <w:highlight w:val="none"/>
              </w:rPr>
              <w:t>2 000</w:t>
            </w:r>
          </w:p>
        </w:tc>
        <w:tc>
          <w:tcPr>
            <w:tcW w:w="2354" w:type="dxa"/>
            <w:vAlign w:val="center"/>
          </w:tcPr>
          <w:p w14:paraId="791AF6CD">
            <w:pPr>
              <w:jc w:val="center"/>
              <w:rPr>
                <w:rFonts w:hint="eastAsia" w:ascii="宋体" w:hAnsi="宋体"/>
                <w:bCs/>
                <w:sz w:val="18"/>
                <w:szCs w:val="18"/>
                <w:highlight w:val="none"/>
              </w:rPr>
            </w:pPr>
            <w:r>
              <w:rPr>
                <w:rFonts w:hint="eastAsia" w:ascii="宋体" w:hAnsi="宋体"/>
                <w:bCs/>
                <w:sz w:val="18"/>
                <w:szCs w:val="18"/>
                <w:highlight w:val="none"/>
              </w:rPr>
              <w:t>2 000</w:t>
            </w:r>
            <w:r>
              <w:rPr>
                <w:bCs/>
                <w:sz w:val="18"/>
                <w:szCs w:val="18"/>
                <w:highlight w:val="none"/>
              </w:rPr>
              <w:t>~</w:t>
            </w:r>
            <w:r>
              <w:rPr>
                <w:rFonts w:hint="eastAsia" w:ascii="宋体" w:hAnsi="宋体"/>
                <w:bCs/>
                <w:sz w:val="18"/>
                <w:szCs w:val="18"/>
                <w:highlight w:val="none"/>
              </w:rPr>
              <w:t>5 000</w:t>
            </w:r>
          </w:p>
        </w:tc>
      </w:tr>
      <w:tr w14:paraId="514E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0" w:type="dxa"/>
            <w:vMerge w:val="restart"/>
            <w:vAlign w:val="center"/>
          </w:tcPr>
          <w:p w14:paraId="7C10FFF9">
            <w:pPr>
              <w:jc w:val="center"/>
              <w:rPr>
                <w:rFonts w:hint="eastAsia" w:ascii="宋体" w:hAnsi="宋体"/>
                <w:bCs/>
                <w:sz w:val="18"/>
                <w:szCs w:val="18"/>
                <w:highlight w:val="none"/>
              </w:rPr>
            </w:pPr>
            <w:r>
              <w:rPr>
                <w:rFonts w:hint="eastAsia" w:ascii="宋体" w:hAnsi="宋体"/>
                <w:bCs/>
                <w:sz w:val="18"/>
                <w:szCs w:val="18"/>
                <w:highlight w:val="none"/>
              </w:rPr>
              <w:t>上粉质量</w:t>
            </w:r>
          </w:p>
        </w:tc>
        <w:tc>
          <w:tcPr>
            <w:tcW w:w="2246" w:type="dxa"/>
            <w:vAlign w:val="center"/>
          </w:tcPr>
          <w:p w14:paraId="3338E74C">
            <w:pPr>
              <w:jc w:val="center"/>
              <w:rPr>
                <w:rFonts w:hint="eastAsia" w:ascii="宋体" w:hAnsi="宋体"/>
                <w:bCs/>
                <w:sz w:val="18"/>
                <w:szCs w:val="18"/>
                <w:highlight w:val="none"/>
              </w:rPr>
            </w:pPr>
            <w:r>
              <w:rPr>
                <w:rFonts w:hint="eastAsia" w:ascii="宋体" w:hAnsi="宋体"/>
                <w:bCs/>
                <w:sz w:val="18"/>
                <w:szCs w:val="18"/>
                <w:highlight w:val="none"/>
              </w:rPr>
              <w:t>上粉合格率</w:t>
            </w:r>
            <w:r>
              <w:rPr>
                <w:rFonts w:ascii="宋体" w:hAnsi="宋体"/>
                <w:kern w:val="0"/>
                <w:sz w:val="18"/>
                <w:szCs w:val="18"/>
                <w:highlight w:val="none"/>
              </w:rPr>
              <w:t xml:space="preserve"> </w:t>
            </w:r>
            <w:r>
              <w:rPr>
                <w:rFonts w:hint="eastAsia" w:ascii="宋体" w:hAnsi="宋体"/>
                <w:kern w:val="0"/>
                <w:sz w:val="18"/>
                <w:szCs w:val="18"/>
                <w:highlight w:val="none"/>
              </w:rPr>
              <w:t>%</w:t>
            </w:r>
          </w:p>
        </w:tc>
        <w:tc>
          <w:tcPr>
            <w:tcW w:w="2354" w:type="dxa"/>
            <w:vAlign w:val="center"/>
          </w:tcPr>
          <w:p w14:paraId="290E218F">
            <w:pPr>
              <w:jc w:val="center"/>
              <w:rPr>
                <w:bCs/>
                <w:color w:val="FF0000"/>
                <w:sz w:val="18"/>
                <w:szCs w:val="18"/>
                <w:highlight w:val="none"/>
              </w:rPr>
            </w:pPr>
            <w:r>
              <w:rPr>
                <w:rFonts w:hint="eastAsia" w:ascii="宋体" w:hAnsi="宋体"/>
                <w:bCs/>
                <w:sz w:val="18"/>
                <w:szCs w:val="18"/>
                <w:highlight w:val="none"/>
              </w:rPr>
              <w:t>≥95</w:t>
            </w:r>
          </w:p>
        </w:tc>
        <w:tc>
          <w:tcPr>
            <w:tcW w:w="2354" w:type="dxa"/>
            <w:vAlign w:val="center"/>
          </w:tcPr>
          <w:p w14:paraId="1E2A2159">
            <w:pPr>
              <w:jc w:val="center"/>
              <w:rPr>
                <w:b/>
                <w:color w:val="FF0000"/>
                <w:sz w:val="18"/>
                <w:szCs w:val="18"/>
                <w:highlight w:val="none"/>
              </w:rPr>
            </w:pPr>
            <w:r>
              <w:rPr>
                <w:rFonts w:hint="eastAsia" w:ascii="宋体" w:hAnsi="宋体"/>
                <w:bCs/>
                <w:sz w:val="18"/>
                <w:szCs w:val="18"/>
                <w:highlight w:val="none"/>
              </w:rPr>
              <w:t>≥94</w:t>
            </w:r>
          </w:p>
        </w:tc>
      </w:tr>
      <w:tr w14:paraId="4172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30" w:type="dxa"/>
            <w:vMerge w:val="continue"/>
            <w:vAlign w:val="center"/>
          </w:tcPr>
          <w:p w14:paraId="3E6A0B31">
            <w:pPr>
              <w:jc w:val="center"/>
              <w:rPr>
                <w:rFonts w:hint="eastAsia" w:ascii="宋体" w:hAnsi="宋体"/>
                <w:bCs/>
                <w:sz w:val="18"/>
                <w:szCs w:val="18"/>
                <w:highlight w:val="none"/>
              </w:rPr>
            </w:pPr>
          </w:p>
        </w:tc>
        <w:tc>
          <w:tcPr>
            <w:tcW w:w="2246" w:type="dxa"/>
            <w:vAlign w:val="center"/>
          </w:tcPr>
          <w:p w14:paraId="053C33A4">
            <w:pPr>
              <w:jc w:val="center"/>
              <w:rPr>
                <w:rFonts w:hint="eastAsia" w:ascii="宋体" w:hAnsi="宋体"/>
                <w:bCs/>
                <w:sz w:val="18"/>
                <w:szCs w:val="18"/>
                <w:highlight w:val="none"/>
              </w:rPr>
            </w:pPr>
            <w:r>
              <w:rPr>
                <w:rFonts w:hint="eastAsia" w:ascii="宋体" w:hAnsi="宋体"/>
                <w:bCs/>
                <w:sz w:val="18"/>
                <w:szCs w:val="18"/>
                <w:highlight w:val="none"/>
              </w:rPr>
              <w:t>上粉率 %</w:t>
            </w:r>
          </w:p>
        </w:tc>
        <w:tc>
          <w:tcPr>
            <w:tcW w:w="2354" w:type="dxa"/>
            <w:vAlign w:val="center"/>
          </w:tcPr>
          <w:p w14:paraId="7195D013">
            <w:pPr>
              <w:jc w:val="center"/>
              <w:rPr>
                <w:rFonts w:hint="eastAsia" w:ascii="宋体" w:hAnsi="宋体"/>
                <w:bCs/>
                <w:sz w:val="18"/>
                <w:szCs w:val="18"/>
                <w:highlight w:val="none"/>
              </w:rPr>
            </w:pPr>
            <w:r>
              <w:rPr>
                <w:rFonts w:hint="eastAsia" w:ascii="宋体" w:hAnsi="宋体"/>
                <w:bCs/>
                <w:sz w:val="18"/>
                <w:szCs w:val="18"/>
                <w:highlight w:val="none"/>
              </w:rPr>
              <w:t>10</w:t>
            </w:r>
            <w:r>
              <w:rPr>
                <w:bCs/>
                <w:sz w:val="18"/>
                <w:szCs w:val="18"/>
                <w:highlight w:val="none"/>
              </w:rPr>
              <w:t>~</w:t>
            </w:r>
            <w:r>
              <w:rPr>
                <w:rFonts w:hint="eastAsia" w:ascii="宋体" w:hAnsi="宋体"/>
                <w:bCs/>
                <w:sz w:val="18"/>
                <w:szCs w:val="18"/>
                <w:highlight w:val="none"/>
              </w:rPr>
              <w:t>15</w:t>
            </w:r>
          </w:p>
        </w:tc>
        <w:tc>
          <w:tcPr>
            <w:tcW w:w="2354" w:type="dxa"/>
            <w:vAlign w:val="center"/>
          </w:tcPr>
          <w:p w14:paraId="1B5C5D45">
            <w:pPr>
              <w:jc w:val="center"/>
              <w:rPr>
                <w:rFonts w:hint="eastAsia" w:ascii="宋体" w:hAnsi="宋体"/>
                <w:bCs/>
                <w:sz w:val="18"/>
                <w:szCs w:val="18"/>
                <w:highlight w:val="none"/>
              </w:rPr>
            </w:pPr>
            <w:r>
              <w:rPr>
                <w:rFonts w:hint="eastAsia" w:ascii="宋体" w:hAnsi="宋体"/>
                <w:bCs/>
                <w:sz w:val="18"/>
                <w:szCs w:val="18"/>
                <w:highlight w:val="none"/>
              </w:rPr>
              <w:t>15</w:t>
            </w:r>
            <w:r>
              <w:rPr>
                <w:bCs/>
                <w:sz w:val="18"/>
                <w:szCs w:val="18"/>
                <w:highlight w:val="none"/>
              </w:rPr>
              <w:t>~</w:t>
            </w:r>
            <w:r>
              <w:rPr>
                <w:rFonts w:hint="eastAsia" w:ascii="宋体" w:hAnsi="宋体"/>
                <w:bCs/>
                <w:sz w:val="18"/>
                <w:szCs w:val="18"/>
                <w:highlight w:val="none"/>
              </w:rPr>
              <w:t>30</w:t>
            </w:r>
          </w:p>
        </w:tc>
      </w:tr>
      <w:tr w14:paraId="49F7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jc w:val="center"/>
        </w:trPr>
        <w:tc>
          <w:tcPr>
            <w:tcW w:w="3576" w:type="dxa"/>
            <w:gridSpan w:val="2"/>
            <w:vAlign w:val="center"/>
          </w:tcPr>
          <w:p w14:paraId="6DAE8737">
            <w:pPr>
              <w:jc w:val="center"/>
              <w:rPr>
                <w:rFonts w:hint="eastAsia" w:ascii="宋体" w:hAnsi="宋体"/>
                <w:bCs/>
                <w:sz w:val="18"/>
                <w:szCs w:val="18"/>
                <w:highlight w:val="none"/>
              </w:rPr>
            </w:pPr>
            <w:r>
              <w:rPr>
                <w:rFonts w:hint="eastAsia" w:ascii="宋体" w:hAnsi="宋体"/>
                <w:bCs/>
                <w:sz w:val="18"/>
                <w:szCs w:val="18"/>
                <w:highlight w:val="none"/>
              </w:rPr>
              <w:t>网带宽度 mm</w:t>
            </w:r>
          </w:p>
        </w:tc>
        <w:tc>
          <w:tcPr>
            <w:tcW w:w="4708" w:type="dxa"/>
            <w:gridSpan w:val="2"/>
            <w:vAlign w:val="center"/>
          </w:tcPr>
          <w:p w14:paraId="5B864AFB">
            <w:pPr>
              <w:jc w:val="center"/>
              <w:rPr>
                <w:rFonts w:hint="eastAsia" w:ascii="宋体" w:hAnsi="宋体"/>
                <w:bCs/>
                <w:sz w:val="18"/>
                <w:szCs w:val="18"/>
                <w:highlight w:val="none"/>
              </w:rPr>
            </w:pPr>
            <w:r>
              <w:rPr>
                <w:rFonts w:hint="eastAsia" w:ascii="宋体" w:hAnsi="宋体"/>
                <w:bCs/>
                <w:sz w:val="18"/>
                <w:szCs w:val="18"/>
                <w:highlight w:val="none"/>
              </w:rPr>
              <w:t>200、400、600、1 000、……</w:t>
            </w:r>
          </w:p>
        </w:tc>
      </w:tr>
      <w:tr w14:paraId="28287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vAlign w:val="center"/>
          </w:tcPr>
          <w:p w14:paraId="31F98306">
            <w:pPr>
              <w:jc w:val="center"/>
              <w:rPr>
                <w:rFonts w:hint="eastAsia" w:ascii="宋体" w:hAnsi="宋体"/>
                <w:bCs/>
                <w:sz w:val="18"/>
                <w:szCs w:val="18"/>
                <w:highlight w:val="none"/>
              </w:rPr>
            </w:pPr>
            <w:r>
              <w:rPr>
                <w:rFonts w:hint="eastAsia" w:ascii="宋体" w:hAnsi="宋体"/>
                <w:bCs/>
                <w:sz w:val="18"/>
                <w:szCs w:val="18"/>
                <w:highlight w:val="none"/>
              </w:rPr>
              <w:t>输送速度 m/min</w:t>
            </w:r>
          </w:p>
        </w:tc>
        <w:tc>
          <w:tcPr>
            <w:tcW w:w="4708" w:type="dxa"/>
            <w:gridSpan w:val="2"/>
            <w:vAlign w:val="center"/>
          </w:tcPr>
          <w:p w14:paraId="4C245046">
            <w:pPr>
              <w:jc w:val="center"/>
              <w:rPr>
                <w:rFonts w:hint="eastAsia" w:ascii="宋体" w:hAnsi="宋体"/>
                <w:bCs/>
                <w:sz w:val="18"/>
                <w:szCs w:val="18"/>
                <w:highlight w:val="none"/>
              </w:rPr>
            </w:pPr>
            <w:r>
              <w:rPr>
                <w:rFonts w:hint="eastAsia" w:ascii="宋体" w:hAnsi="宋体"/>
                <w:bCs/>
                <w:sz w:val="18"/>
                <w:szCs w:val="18"/>
                <w:highlight w:val="none"/>
                <w:lang w:val="en-US" w:eastAsia="zh-CN"/>
              </w:rPr>
              <w:t>5</w:t>
            </w:r>
            <w:r>
              <w:rPr>
                <w:bCs/>
                <w:sz w:val="18"/>
                <w:szCs w:val="18"/>
                <w:highlight w:val="none"/>
              </w:rPr>
              <w:t>~</w:t>
            </w:r>
            <w:r>
              <w:rPr>
                <w:rFonts w:hint="eastAsia" w:ascii="宋体" w:hAnsi="宋体"/>
                <w:bCs/>
                <w:sz w:val="18"/>
                <w:szCs w:val="18"/>
                <w:highlight w:val="none"/>
              </w:rPr>
              <w:t>25</w:t>
            </w:r>
          </w:p>
        </w:tc>
      </w:tr>
      <w:tr w14:paraId="6F96A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tcPr>
          <w:p w14:paraId="339556A4">
            <w:pPr>
              <w:jc w:val="center"/>
              <w:rPr>
                <w:rFonts w:hint="eastAsia" w:ascii="宋体" w:hAnsi="宋体"/>
                <w:bCs/>
                <w:sz w:val="18"/>
                <w:szCs w:val="18"/>
                <w:highlight w:val="none"/>
              </w:rPr>
            </w:pPr>
            <w:r>
              <w:rPr>
                <w:rFonts w:hint="eastAsia" w:ascii="宋体" w:hAnsi="宋体"/>
                <w:bCs/>
                <w:sz w:val="18"/>
                <w:szCs w:val="18"/>
                <w:highlight w:val="none"/>
              </w:rPr>
              <w:t>速度调节</w:t>
            </w:r>
          </w:p>
        </w:tc>
        <w:tc>
          <w:tcPr>
            <w:tcW w:w="4708" w:type="dxa"/>
            <w:gridSpan w:val="2"/>
          </w:tcPr>
          <w:p w14:paraId="0329A474">
            <w:pPr>
              <w:jc w:val="center"/>
              <w:rPr>
                <w:rFonts w:hint="eastAsia" w:ascii="宋体" w:hAnsi="宋体"/>
                <w:bCs/>
                <w:sz w:val="18"/>
                <w:szCs w:val="18"/>
                <w:highlight w:val="none"/>
              </w:rPr>
            </w:pPr>
            <w:r>
              <w:rPr>
                <w:rFonts w:hint="eastAsia" w:ascii="宋体" w:hAnsi="宋体"/>
                <w:bCs/>
                <w:sz w:val="18"/>
                <w:szCs w:val="18"/>
                <w:highlight w:val="none"/>
              </w:rPr>
              <w:t>无级变速</w:t>
            </w:r>
          </w:p>
        </w:tc>
      </w:tr>
      <w:tr w14:paraId="3F38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vAlign w:val="center"/>
          </w:tcPr>
          <w:p w14:paraId="015AAB0F">
            <w:pPr>
              <w:jc w:val="center"/>
              <w:rPr>
                <w:rFonts w:hint="eastAsia" w:ascii="宋体" w:hAnsi="宋体"/>
                <w:bCs/>
                <w:sz w:val="18"/>
                <w:szCs w:val="18"/>
                <w:highlight w:val="none"/>
              </w:rPr>
            </w:pPr>
            <w:r>
              <w:rPr>
                <w:rFonts w:hint="eastAsia" w:ascii="宋体" w:hAnsi="宋体"/>
                <w:bCs/>
                <w:sz w:val="18"/>
                <w:szCs w:val="18"/>
                <w:highlight w:val="none"/>
              </w:rPr>
              <w:t>输入、输出高度 mm</w:t>
            </w:r>
          </w:p>
        </w:tc>
        <w:tc>
          <w:tcPr>
            <w:tcW w:w="4708" w:type="dxa"/>
            <w:gridSpan w:val="2"/>
            <w:vAlign w:val="center"/>
          </w:tcPr>
          <w:p w14:paraId="0E6120EA">
            <w:pPr>
              <w:jc w:val="center"/>
              <w:rPr>
                <w:rFonts w:hint="eastAsia" w:ascii="宋体" w:hAnsi="宋体"/>
                <w:bCs/>
                <w:sz w:val="18"/>
                <w:szCs w:val="18"/>
                <w:highlight w:val="none"/>
              </w:rPr>
            </w:pPr>
            <w:r>
              <w:rPr>
                <w:rFonts w:hint="eastAsia" w:ascii="宋体" w:hAnsi="宋体"/>
                <w:bCs/>
                <w:sz w:val="18"/>
                <w:szCs w:val="18"/>
                <w:highlight w:val="none"/>
              </w:rPr>
              <w:t>1 0</w:t>
            </w:r>
            <w:r>
              <w:rPr>
                <w:rFonts w:ascii="宋体" w:hAnsi="宋体"/>
                <w:bCs/>
                <w:sz w:val="18"/>
                <w:szCs w:val="18"/>
                <w:highlight w:val="none"/>
              </w:rPr>
              <w:t>00</w:t>
            </w:r>
            <w:r>
              <w:rPr>
                <w:bCs/>
                <w:sz w:val="18"/>
                <w:szCs w:val="18"/>
                <w:highlight w:val="none"/>
              </w:rPr>
              <w:t>~</w:t>
            </w:r>
            <w:r>
              <w:rPr>
                <w:rFonts w:hint="eastAsia" w:ascii="宋体" w:hAnsi="宋体"/>
                <w:bCs/>
                <w:sz w:val="18"/>
                <w:szCs w:val="18"/>
                <w:highlight w:val="none"/>
              </w:rPr>
              <w:t>1 1</w:t>
            </w:r>
            <w:r>
              <w:rPr>
                <w:rFonts w:ascii="宋体" w:hAnsi="宋体"/>
                <w:bCs/>
                <w:sz w:val="18"/>
                <w:szCs w:val="18"/>
                <w:highlight w:val="none"/>
              </w:rPr>
              <w:t>00</w:t>
            </w:r>
          </w:p>
        </w:tc>
      </w:tr>
      <w:tr w14:paraId="24CC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vAlign w:val="center"/>
          </w:tcPr>
          <w:p w14:paraId="721D5E96">
            <w:pPr>
              <w:jc w:val="center"/>
              <w:rPr>
                <w:rFonts w:hint="eastAsia" w:ascii="宋体" w:hAnsi="宋体"/>
                <w:bCs/>
                <w:sz w:val="18"/>
                <w:szCs w:val="18"/>
                <w:highlight w:val="none"/>
              </w:rPr>
            </w:pPr>
            <w:r>
              <w:rPr>
                <w:rFonts w:hint="eastAsia" w:ascii="宋体" w:hAnsi="宋体"/>
                <w:bCs/>
                <w:sz w:val="18"/>
                <w:szCs w:val="18"/>
                <w:highlight w:val="none"/>
              </w:rPr>
              <w:t>物料高度 mm</w:t>
            </w:r>
          </w:p>
        </w:tc>
        <w:tc>
          <w:tcPr>
            <w:tcW w:w="4708" w:type="dxa"/>
            <w:gridSpan w:val="2"/>
            <w:vAlign w:val="center"/>
          </w:tcPr>
          <w:p w14:paraId="6BC2A1F7">
            <w:pPr>
              <w:jc w:val="center"/>
              <w:rPr>
                <w:rFonts w:hint="eastAsia" w:ascii="宋体" w:hAnsi="宋体"/>
                <w:bCs/>
                <w:sz w:val="18"/>
                <w:szCs w:val="18"/>
                <w:highlight w:val="none"/>
              </w:rPr>
            </w:pPr>
            <w:r>
              <w:rPr>
                <w:rFonts w:hint="eastAsia" w:ascii="宋体" w:hAnsi="宋体"/>
                <w:bCs/>
                <w:sz w:val="18"/>
                <w:szCs w:val="18"/>
                <w:highlight w:val="none"/>
              </w:rPr>
              <w:t>≤8</w:t>
            </w:r>
            <w:r>
              <w:rPr>
                <w:rFonts w:ascii="宋体" w:hAnsi="宋体"/>
                <w:bCs/>
                <w:sz w:val="18"/>
                <w:szCs w:val="18"/>
                <w:highlight w:val="none"/>
              </w:rPr>
              <w:t>0</w:t>
            </w:r>
          </w:p>
        </w:tc>
        <w:bookmarkStart w:id="334" w:name="_Toc196241188"/>
        <w:bookmarkStart w:id="335" w:name="_Toc196241192"/>
        <w:bookmarkStart w:id="336" w:name="_Toc196241189"/>
        <w:bookmarkStart w:id="337" w:name="_Toc196241190"/>
        <w:bookmarkStart w:id="338" w:name="_Toc196241191"/>
        <w:bookmarkStart w:id="339" w:name="_Toc186914361"/>
      </w:tr>
      <w:tr w14:paraId="6715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76" w:type="dxa"/>
            <w:gridSpan w:val="2"/>
            <w:vAlign w:val="center"/>
          </w:tcPr>
          <w:p w14:paraId="53C32AD9">
            <w:pPr>
              <w:jc w:val="center"/>
              <w:rPr>
                <w:rFonts w:hint="eastAsia" w:ascii="宋体" w:hAnsi="宋体"/>
                <w:bCs/>
                <w:sz w:val="18"/>
                <w:szCs w:val="18"/>
                <w:highlight w:val="none"/>
              </w:rPr>
            </w:pPr>
            <w:r>
              <w:rPr>
                <w:rFonts w:hint="eastAsia" w:ascii="宋体" w:hAnsi="宋体"/>
                <w:bCs/>
                <w:sz w:val="18"/>
                <w:szCs w:val="18"/>
                <w:highlight w:val="none"/>
              </w:rPr>
              <w:t>正常工作噪声（声压级） dB(A)</w:t>
            </w:r>
          </w:p>
        </w:tc>
        <w:tc>
          <w:tcPr>
            <w:tcW w:w="4708" w:type="dxa"/>
            <w:gridSpan w:val="2"/>
            <w:vAlign w:val="center"/>
          </w:tcPr>
          <w:p w14:paraId="014FA266">
            <w:pPr>
              <w:jc w:val="center"/>
              <w:rPr>
                <w:rFonts w:hint="eastAsia" w:ascii="宋体" w:hAnsi="宋体"/>
                <w:bCs/>
                <w:sz w:val="18"/>
                <w:szCs w:val="18"/>
                <w:highlight w:val="none"/>
              </w:rPr>
            </w:pPr>
            <w:r>
              <w:rPr>
                <w:rFonts w:hint="eastAsia" w:ascii="宋体" w:hAnsi="宋体"/>
                <w:bCs/>
                <w:sz w:val="18"/>
                <w:szCs w:val="18"/>
                <w:highlight w:val="none"/>
              </w:rPr>
              <w:t>≤8</w:t>
            </w:r>
            <w:r>
              <w:rPr>
                <w:rFonts w:ascii="宋体" w:hAnsi="宋体"/>
                <w:bCs/>
                <w:sz w:val="18"/>
                <w:szCs w:val="18"/>
                <w:highlight w:val="none"/>
              </w:rPr>
              <w:t>0</w:t>
            </w:r>
          </w:p>
        </w:tc>
      </w:tr>
      <w:tr w14:paraId="0FF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284" w:type="dxa"/>
            <w:gridSpan w:val="4"/>
            <w:vAlign w:val="center"/>
          </w:tcPr>
          <w:p w14:paraId="3D4ED5DB">
            <w:pPr>
              <w:pStyle w:val="153"/>
              <w:ind w:firstLine="0" w:firstLineChars="0"/>
              <w:rPr>
                <w:rFonts w:hint="eastAsia" w:hAnsi="宋体" w:cs="宋体"/>
                <w:sz w:val="18"/>
                <w:szCs w:val="18"/>
                <w:highlight w:val="none"/>
              </w:rPr>
            </w:pPr>
            <w:bookmarkStart w:id="340" w:name="_Toc14531"/>
            <w:bookmarkStart w:id="341" w:name="_Toc18180"/>
            <w:r>
              <w:rPr>
                <w:rFonts w:hint="eastAsia" w:hAnsi="宋体" w:cs="宋体"/>
                <w:sz w:val="18"/>
                <w:szCs w:val="18"/>
                <w:highlight w:val="none"/>
                <w:lang w:val="en-US" w:eastAsia="zh-CN"/>
              </w:rPr>
              <w:t>注1：同等环境参数下，上粉机生产能力与物料的质量成正比例关系。即物料质量越大，生产能力越大，物料质量越小，生产能力越小。</w:t>
            </w:r>
          </w:p>
          <w:p w14:paraId="4BA03368">
            <w:pPr>
              <w:pStyle w:val="153"/>
              <w:keepNext w:val="0"/>
              <w:keepLines w:val="0"/>
              <w:pageBreakBefore w:val="0"/>
              <w:widowControl/>
              <w:kinsoku/>
              <w:wordWrap/>
              <w:overflowPunct/>
              <w:topLinePunct w:val="0"/>
              <w:autoSpaceDE w:val="0"/>
              <w:autoSpaceDN w:val="0"/>
              <w:bidi w:val="0"/>
              <w:adjustRightInd/>
              <w:snapToGrid/>
              <w:spacing w:before="157" w:beforeLines="50"/>
              <w:ind w:firstLine="0" w:firstLineChars="0"/>
              <w:textAlignment w:val="auto"/>
              <w:rPr>
                <w:rFonts w:hint="eastAsia" w:hAnsi="宋体" w:cs="宋体"/>
                <w:sz w:val="18"/>
                <w:szCs w:val="18"/>
                <w:highlight w:val="none"/>
              </w:rPr>
            </w:pPr>
            <w:r>
              <w:rPr>
                <w:rFonts w:hint="eastAsia" w:hAnsi="宋体" w:cs="宋体"/>
                <w:sz w:val="18"/>
                <w:szCs w:val="18"/>
                <w:highlight w:val="none"/>
              </w:rPr>
              <w:t>注</w:t>
            </w:r>
            <w:r>
              <w:rPr>
                <w:rFonts w:hint="eastAsia" w:hAnsi="宋体" w:cs="宋体"/>
                <w:sz w:val="18"/>
                <w:szCs w:val="18"/>
                <w:highlight w:val="none"/>
                <w:lang w:val="en-US" w:eastAsia="zh-CN"/>
              </w:rPr>
              <w:t>2</w:t>
            </w:r>
            <w:r>
              <w:rPr>
                <w:rFonts w:hint="eastAsia" w:hAnsi="宋体" w:cs="宋体"/>
                <w:sz w:val="18"/>
                <w:szCs w:val="18"/>
                <w:highlight w:val="none"/>
              </w:rPr>
              <w:t>：成品出现以下任意现象则判定为上粉不合格：</w:t>
            </w:r>
          </w:p>
          <w:p w14:paraId="5BE0FF16">
            <w:pPr>
              <w:pStyle w:val="153"/>
              <w:ind w:left="780" w:leftChars="200" w:hanging="360" w:hangingChars="200"/>
              <w:rPr>
                <w:rFonts w:hint="eastAsia" w:hAnsi="宋体" w:cs="宋体"/>
                <w:sz w:val="18"/>
                <w:szCs w:val="18"/>
                <w:highlight w:val="none"/>
              </w:rPr>
            </w:pPr>
            <w:r>
              <w:rPr>
                <w:rFonts w:hint="eastAsia" w:hAnsi="宋体" w:cs="宋体"/>
                <w:sz w:val="18"/>
                <w:szCs w:val="18"/>
                <w:highlight w:val="none"/>
              </w:rPr>
              <w:t>a）成品表面粉层覆盖不均匀，裸露区域面积超过成品表面积的5%；</w:t>
            </w:r>
          </w:p>
          <w:p w14:paraId="61A6D4D1">
            <w:pPr>
              <w:pStyle w:val="153"/>
              <w:ind w:left="780" w:leftChars="200" w:hanging="360" w:hangingChars="200"/>
              <w:rPr>
                <w:rFonts w:hint="eastAsia" w:hAnsi="宋体" w:cs="宋体"/>
                <w:sz w:val="18"/>
                <w:szCs w:val="18"/>
                <w:highlight w:val="none"/>
              </w:rPr>
            </w:pPr>
            <w:r>
              <w:rPr>
                <w:rFonts w:hint="eastAsia" w:hAnsi="宋体" w:cs="宋体"/>
                <w:sz w:val="18"/>
                <w:szCs w:val="18"/>
                <w:highlight w:val="none"/>
              </w:rPr>
              <w:t>b）同一成品表面不同部位的粉层厚度差异超过平均粉层厚度的3%；</w:t>
            </w:r>
          </w:p>
          <w:p w14:paraId="583F505C">
            <w:pPr>
              <w:pStyle w:val="153"/>
              <w:ind w:left="780" w:leftChars="200" w:hanging="360" w:hangingChars="200"/>
              <w:rPr>
                <w:rFonts w:hint="eastAsia" w:hAnsi="宋体"/>
                <w:bCs/>
                <w:sz w:val="18"/>
                <w:szCs w:val="18"/>
                <w:highlight w:val="none"/>
              </w:rPr>
            </w:pPr>
            <w:r>
              <w:rPr>
                <w:rFonts w:hint="eastAsia" w:hAnsi="宋体" w:cs="宋体"/>
                <w:sz w:val="18"/>
                <w:szCs w:val="18"/>
                <w:highlight w:val="none"/>
              </w:rPr>
              <w:t>c）粉层表面有明显积粉、粉团或结块现象。</w:t>
            </w:r>
          </w:p>
        </w:tc>
      </w:tr>
      <w:bookmarkEnd w:id="328"/>
      <w:bookmarkEnd w:id="334"/>
      <w:bookmarkEnd w:id="335"/>
      <w:bookmarkEnd w:id="336"/>
      <w:bookmarkEnd w:id="337"/>
      <w:bookmarkEnd w:id="338"/>
      <w:bookmarkEnd w:id="339"/>
    </w:tbl>
    <w:p w14:paraId="1E96B035">
      <w:pPr>
        <w:pStyle w:val="173"/>
        <w:numPr>
          <w:ilvl w:val="1"/>
          <w:numId w:val="18"/>
        </w:numPr>
        <w:spacing w:line="240" w:lineRule="auto"/>
        <w:jc w:val="both"/>
        <w:rPr>
          <w:highlight w:val="none"/>
        </w:rPr>
      </w:pPr>
      <w:bookmarkStart w:id="342" w:name="_Toc10509"/>
      <w:r>
        <w:rPr>
          <w:highlight w:val="none"/>
        </w:rPr>
        <w:t>试验</w:t>
      </w:r>
      <w:r>
        <w:rPr>
          <w:rFonts w:hint="eastAsia"/>
          <w:highlight w:val="none"/>
        </w:rPr>
        <w:t>方法</w:t>
      </w:r>
      <w:bookmarkEnd w:id="340"/>
      <w:bookmarkEnd w:id="341"/>
      <w:bookmarkEnd w:id="342"/>
    </w:p>
    <w:p w14:paraId="15F292A2">
      <w:pPr>
        <w:widowControl/>
        <w:numPr>
          <w:ilvl w:val="2"/>
          <w:numId w:val="18"/>
        </w:numPr>
        <w:spacing w:before="156" w:beforeLines="50" w:after="156" w:afterLines="50"/>
        <w:outlineLvl w:val="1"/>
        <w:rPr>
          <w:rFonts w:ascii="黑体" w:eastAsia="黑体"/>
          <w:kern w:val="0"/>
          <w:szCs w:val="21"/>
          <w:highlight w:val="none"/>
        </w:rPr>
      </w:pPr>
      <w:bookmarkStart w:id="343" w:name="_Toc196238811"/>
      <w:bookmarkStart w:id="344" w:name="_Toc13099"/>
      <w:r>
        <w:rPr>
          <w:rFonts w:hint="eastAsia" w:ascii="黑体" w:eastAsia="黑体"/>
          <w:kern w:val="0"/>
          <w:szCs w:val="21"/>
          <w:highlight w:val="none"/>
        </w:rPr>
        <w:t>试验条件</w:t>
      </w:r>
      <w:bookmarkEnd w:id="343"/>
      <w:bookmarkEnd w:id="344"/>
    </w:p>
    <w:p w14:paraId="15F01F3B">
      <w:pPr>
        <w:numPr>
          <w:ilvl w:val="3"/>
          <w:numId w:val="18"/>
        </w:numPr>
        <w:outlineLvl w:val="2"/>
        <w:rPr>
          <w:rFonts w:hint="eastAsia" w:ascii="宋体" w:hAnsi="宋体" w:cs="宋体"/>
          <w:kern w:val="0"/>
          <w:highlight w:val="none"/>
        </w:rPr>
      </w:pPr>
      <w:bookmarkStart w:id="345" w:name="_Toc234307610"/>
      <w:bookmarkStart w:id="346" w:name="_Toc20302"/>
      <w:bookmarkStart w:id="347" w:name="_Toc29619"/>
      <w:r>
        <w:rPr>
          <w:rFonts w:hint="eastAsia" w:ascii="宋体" w:hAnsi="宋体" w:cs="宋体"/>
          <w:kern w:val="0"/>
          <w:highlight w:val="none"/>
        </w:rPr>
        <w:t>试验</w:t>
      </w:r>
      <w:r>
        <w:rPr>
          <w:rFonts w:hint="eastAsia" w:ascii="宋体" w:hAnsi="宋体" w:cs="宋体"/>
          <w:highlight w:val="none"/>
        </w:rPr>
        <w:t>环</w:t>
      </w:r>
      <w:r>
        <w:rPr>
          <w:rFonts w:hint="eastAsia" w:ascii="宋体" w:hAnsi="宋体" w:cs="宋体"/>
          <w:kern w:val="0"/>
          <w:highlight w:val="none"/>
        </w:rPr>
        <w:t>境温度应为5 ℃～40 ℃；环境相对湿度不应大于85%。</w:t>
      </w:r>
      <w:bookmarkEnd w:id="345"/>
      <w:bookmarkEnd w:id="346"/>
      <w:bookmarkEnd w:id="347"/>
    </w:p>
    <w:p w14:paraId="37EACDC3">
      <w:pPr>
        <w:numPr>
          <w:ilvl w:val="3"/>
          <w:numId w:val="18"/>
        </w:numPr>
        <w:outlineLvl w:val="2"/>
        <w:rPr>
          <w:rFonts w:hint="eastAsia" w:ascii="宋体" w:hAnsi="宋体" w:cs="宋体"/>
          <w:kern w:val="0"/>
          <w:highlight w:val="none"/>
        </w:rPr>
      </w:pPr>
      <w:bookmarkStart w:id="348" w:name="_Toc1012"/>
      <w:bookmarkStart w:id="349" w:name="_Toc25247"/>
      <w:bookmarkStart w:id="350" w:name="_Toc234307611"/>
      <w:r>
        <w:rPr>
          <w:rFonts w:hint="eastAsia" w:ascii="宋体" w:hAnsi="宋体" w:cs="宋体"/>
          <w:kern w:val="0"/>
          <w:highlight w:val="none"/>
        </w:rPr>
        <w:t>海拔不应超过1 000 m。</w:t>
      </w:r>
      <w:bookmarkEnd w:id="348"/>
      <w:bookmarkEnd w:id="349"/>
      <w:bookmarkEnd w:id="350"/>
    </w:p>
    <w:p w14:paraId="45E47593">
      <w:pPr>
        <w:numPr>
          <w:ilvl w:val="3"/>
          <w:numId w:val="18"/>
        </w:numPr>
        <w:outlineLvl w:val="2"/>
        <w:rPr>
          <w:highlight w:val="none"/>
        </w:rPr>
      </w:pPr>
      <w:bookmarkStart w:id="351" w:name="_Toc27625"/>
      <w:bookmarkStart w:id="352" w:name="_Toc234307612"/>
      <w:bookmarkStart w:id="353" w:name="_Toc18999"/>
      <w:r>
        <w:rPr>
          <w:rFonts w:hint="eastAsia" w:ascii="宋体" w:hAnsi="宋体" w:cs="宋体"/>
          <w:kern w:val="0"/>
          <w:highlight w:val="none"/>
        </w:rPr>
        <w:t>试验物</w:t>
      </w:r>
      <w:r>
        <w:rPr>
          <w:rFonts w:hint="eastAsia" w:ascii="宋体" w:hAnsi="宋体" w:cs="宋体"/>
          <w:highlight w:val="none"/>
        </w:rPr>
        <w:t>料为面粉（含水量≤20%）</w:t>
      </w:r>
      <w:r>
        <w:rPr>
          <w:rFonts w:hint="eastAsia" w:ascii="宋体" w:hAnsi="宋体" w:cs="宋体"/>
          <w:kern w:val="0"/>
          <w:highlight w:val="none"/>
        </w:rPr>
        <w:t>。</w:t>
      </w:r>
      <w:bookmarkEnd w:id="351"/>
      <w:bookmarkEnd w:id="352"/>
      <w:bookmarkEnd w:id="353"/>
    </w:p>
    <w:p w14:paraId="687F6A08">
      <w:pPr>
        <w:ind w:left="717" w:leftChars="170" w:hanging="360" w:hangingChars="200"/>
        <w:rPr>
          <w:rFonts w:hint="eastAsia" w:ascii="黑体" w:hAnsi="黑体" w:eastAsia="黑体"/>
          <w:color w:val="000000"/>
          <w:sz w:val="18"/>
          <w:szCs w:val="18"/>
          <w:highlight w:val="none"/>
        </w:rPr>
      </w:pPr>
      <w:r>
        <w:rPr>
          <w:rFonts w:hint="eastAsia" w:ascii="黑体" w:hAnsi="黑体" w:eastAsia="黑体"/>
          <w:color w:val="000000"/>
          <w:sz w:val="18"/>
          <w:szCs w:val="18"/>
          <w:highlight w:val="none"/>
        </w:rPr>
        <w:t>注：</w:t>
      </w:r>
      <w:r>
        <w:rPr>
          <w:rFonts w:hint="eastAsia" w:ascii="宋体" w:hAnsi="宋体"/>
          <w:color w:val="000000"/>
          <w:sz w:val="18"/>
          <w:szCs w:val="18"/>
          <w:highlight w:val="none"/>
        </w:rPr>
        <w:t>同一组试验应使用同一批次的面粉，不同批次面粉不应混用。</w:t>
      </w:r>
    </w:p>
    <w:p w14:paraId="7B13A8BE">
      <w:pPr>
        <w:widowControl/>
        <w:numPr>
          <w:ilvl w:val="2"/>
          <w:numId w:val="18"/>
        </w:numPr>
        <w:spacing w:before="156" w:beforeLines="50" w:after="156" w:afterLines="50"/>
        <w:outlineLvl w:val="1"/>
        <w:rPr>
          <w:rFonts w:ascii="黑体" w:eastAsia="黑体"/>
          <w:kern w:val="0"/>
          <w:szCs w:val="21"/>
          <w:highlight w:val="none"/>
        </w:rPr>
      </w:pPr>
      <w:bookmarkStart w:id="354" w:name="_Toc22279"/>
      <w:bookmarkStart w:id="355" w:name="_Toc196238812"/>
      <w:r>
        <w:rPr>
          <w:rFonts w:hint="eastAsia" w:ascii="黑体" w:eastAsia="黑体"/>
          <w:kern w:val="0"/>
          <w:szCs w:val="21"/>
          <w:highlight w:val="none"/>
        </w:rPr>
        <w:t>材料</w:t>
      </w:r>
      <w:r>
        <w:rPr>
          <w:rFonts w:hint="eastAsia" w:eastAsia="黑体"/>
          <w:kern w:val="0"/>
          <w:szCs w:val="21"/>
          <w:highlight w:val="none"/>
        </w:rPr>
        <w:t>要求</w:t>
      </w:r>
      <w:r>
        <w:rPr>
          <w:rFonts w:hint="eastAsia" w:ascii="黑体" w:eastAsia="黑体"/>
          <w:kern w:val="0"/>
          <w:szCs w:val="21"/>
          <w:highlight w:val="none"/>
        </w:rPr>
        <w:t>检查</w:t>
      </w:r>
      <w:bookmarkEnd w:id="354"/>
      <w:bookmarkEnd w:id="355"/>
    </w:p>
    <w:p w14:paraId="3C3D7A2F">
      <w:pPr>
        <w:widowControl/>
        <w:ind w:firstLine="420" w:firstLineChars="200"/>
        <w:rPr>
          <w:kern w:val="0"/>
          <w:szCs w:val="21"/>
          <w:highlight w:val="none"/>
        </w:rPr>
      </w:pPr>
      <w:bookmarkStart w:id="356" w:name="_Toc196241196"/>
      <w:bookmarkStart w:id="357" w:name="_Toc196238813"/>
      <w:r>
        <w:rPr>
          <w:rFonts w:hint="eastAsia"/>
          <w:kern w:val="0"/>
          <w:szCs w:val="21"/>
          <w:highlight w:val="none"/>
        </w:rPr>
        <w:t>检查上粉机材质报告单及质量合格证明书。</w:t>
      </w:r>
      <w:bookmarkEnd w:id="356"/>
      <w:bookmarkEnd w:id="357"/>
    </w:p>
    <w:p w14:paraId="1D852BFA">
      <w:pPr>
        <w:widowControl/>
        <w:numPr>
          <w:ilvl w:val="2"/>
          <w:numId w:val="18"/>
        </w:numPr>
        <w:spacing w:before="156" w:beforeLines="50" w:after="156" w:afterLines="50"/>
        <w:outlineLvl w:val="1"/>
        <w:rPr>
          <w:rFonts w:ascii="黑体" w:eastAsia="黑体"/>
          <w:kern w:val="0"/>
          <w:szCs w:val="21"/>
          <w:highlight w:val="none"/>
        </w:rPr>
      </w:pPr>
      <w:bookmarkStart w:id="358" w:name="_Toc20141"/>
      <w:bookmarkStart w:id="359" w:name="_Toc196238814"/>
      <w:r>
        <w:rPr>
          <w:rFonts w:hint="eastAsia" w:ascii="黑体" w:eastAsia="黑体"/>
          <w:kern w:val="0"/>
          <w:szCs w:val="21"/>
          <w:highlight w:val="none"/>
        </w:rPr>
        <w:t>加工</w:t>
      </w:r>
      <w:r>
        <w:rPr>
          <w:rFonts w:hint="eastAsia" w:eastAsia="黑体"/>
          <w:kern w:val="0"/>
          <w:szCs w:val="21"/>
          <w:highlight w:val="none"/>
        </w:rPr>
        <w:t>要求</w:t>
      </w:r>
      <w:r>
        <w:rPr>
          <w:rFonts w:hint="eastAsia" w:ascii="黑体" w:eastAsia="黑体"/>
          <w:kern w:val="0"/>
          <w:szCs w:val="21"/>
          <w:highlight w:val="none"/>
        </w:rPr>
        <w:t>检查</w:t>
      </w:r>
      <w:bookmarkEnd w:id="358"/>
      <w:bookmarkEnd w:id="359"/>
    </w:p>
    <w:p w14:paraId="18F4D390">
      <w:pPr>
        <w:numPr>
          <w:ilvl w:val="3"/>
          <w:numId w:val="18"/>
        </w:numPr>
        <w:outlineLvl w:val="2"/>
        <w:rPr>
          <w:rFonts w:hint="eastAsia" w:ascii="宋体" w:hAnsi="宋体" w:cs="宋体"/>
          <w:kern w:val="0"/>
          <w:highlight w:val="none"/>
        </w:rPr>
      </w:pPr>
      <w:bookmarkStart w:id="360" w:name="_Toc234307615"/>
      <w:bookmarkStart w:id="361" w:name="_Toc4842"/>
      <w:bookmarkStart w:id="362" w:name="_Toc10465"/>
      <w:r>
        <w:rPr>
          <w:rFonts w:hint="eastAsia" w:ascii="宋体" w:hAnsi="宋体" w:cs="宋体"/>
          <w:kern w:val="0"/>
          <w:szCs w:val="21"/>
          <w:highlight w:val="none"/>
        </w:rPr>
        <w:t>按</w:t>
      </w:r>
      <w:r>
        <w:rPr>
          <w:rFonts w:hint="eastAsia" w:ascii="宋体" w:hAnsi="宋体" w:cs="宋体"/>
          <w:color w:val="000000"/>
          <w:kern w:val="0"/>
          <w:szCs w:val="21"/>
          <w:highlight w:val="none"/>
        </w:rPr>
        <w:t>SB/T 223和</w:t>
      </w:r>
      <w:r>
        <w:rPr>
          <w:rFonts w:hint="eastAsia" w:ascii="宋体" w:hAnsi="宋体" w:cs="宋体"/>
          <w:kern w:val="0"/>
          <w:szCs w:val="21"/>
          <w:highlight w:val="none"/>
        </w:rPr>
        <w:t>图样、</w:t>
      </w:r>
      <w:r>
        <w:rPr>
          <w:rFonts w:hint="eastAsia" w:ascii="宋体" w:hAnsi="宋体" w:cs="宋体"/>
          <w:kern w:val="0"/>
          <w:highlight w:val="none"/>
        </w:rPr>
        <w:t>技术文件的规定，目测或选择相应精度的检验工具、量具检查上粉机零部件的机械加工质量。</w:t>
      </w:r>
      <w:bookmarkEnd w:id="360"/>
      <w:bookmarkEnd w:id="361"/>
      <w:bookmarkEnd w:id="362"/>
    </w:p>
    <w:p w14:paraId="03650891">
      <w:pPr>
        <w:numPr>
          <w:ilvl w:val="3"/>
          <w:numId w:val="18"/>
        </w:numPr>
        <w:outlineLvl w:val="2"/>
        <w:rPr>
          <w:rFonts w:hint="eastAsia" w:ascii="宋体" w:hAnsi="宋体" w:cs="宋体"/>
          <w:kern w:val="0"/>
          <w:highlight w:val="none"/>
        </w:rPr>
      </w:pPr>
      <w:bookmarkStart w:id="363" w:name="_Toc13721"/>
      <w:bookmarkStart w:id="364" w:name="_Toc234307616"/>
      <w:bookmarkStart w:id="365" w:name="_Toc529"/>
      <w:r>
        <w:rPr>
          <w:rFonts w:hint="eastAsia" w:ascii="宋体" w:hAnsi="宋体" w:cs="宋体"/>
          <w:kern w:val="0"/>
          <w:highlight w:val="none"/>
        </w:rPr>
        <w:t>按SB/T 225的规定检查上粉机铸件质量。</w:t>
      </w:r>
      <w:bookmarkEnd w:id="363"/>
      <w:bookmarkEnd w:id="364"/>
      <w:bookmarkEnd w:id="365"/>
    </w:p>
    <w:p w14:paraId="56066091">
      <w:pPr>
        <w:numPr>
          <w:ilvl w:val="3"/>
          <w:numId w:val="18"/>
        </w:numPr>
        <w:outlineLvl w:val="2"/>
        <w:rPr>
          <w:rFonts w:hint="eastAsia" w:ascii="宋体" w:hAnsi="宋体" w:cs="宋体"/>
          <w:kern w:val="0"/>
          <w:highlight w:val="none"/>
        </w:rPr>
      </w:pPr>
      <w:bookmarkStart w:id="366" w:name="_Toc2227"/>
      <w:bookmarkStart w:id="367" w:name="_Toc234307617"/>
      <w:bookmarkStart w:id="368" w:name="_Toc4455"/>
      <w:r>
        <w:rPr>
          <w:rFonts w:hint="eastAsia" w:ascii="宋体" w:hAnsi="宋体" w:cs="宋体"/>
          <w:kern w:val="0"/>
          <w:highlight w:val="none"/>
        </w:rPr>
        <w:t>按SB/T 226的规定检查上粉机焊接部位质量。</w:t>
      </w:r>
      <w:bookmarkEnd w:id="366"/>
      <w:bookmarkEnd w:id="367"/>
      <w:bookmarkEnd w:id="368"/>
    </w:p>
    <w:p w14:paraId="4DB375DD">
      <w:pPr>
        <w:numPr>
          <w:ilvl w:val="3"/>
          <w:numId w:val="18"/>
        </w:numPr>
        <w:outlineLvl w:val="2"/>
        <w:rPr>
          <w:rFonts w:hint="eastAsia" w:ascii="宋体" w:hAnsi="宋体" w:cs="宋体"/>
          <w:kern w:val="0"/>
          <w:highlight w:val="none"/>
        </w:rPr>
      </w:pPr>
      <w:bookmarkStart w:id="369" w:name="_Toc8574"/>
      <w:bookmarkStart w:id="370" w:name="_Toc234307618"/>
      <w:bookmarkStart w:id="371" w:name="_Toc21193"/>
      <w:r>
        <w:rPr>
          <w:rFonts w:hint="eastAsia" w:ascii="宋体" w:hAnsi="宋体" w:cs="宋体"/>
          <w:kern w:val="0"/>
          <w:highlight w:val="none"/>
        </w:rPr>
        <w:t>检查上粉机</w:t>
      </w:r>
      <w:r>
        <w:rPr>
          <w:rFonts w:ascii="宋体" w:hAnsi="宋体" w:cs="宋体"/>
          <w:kern w:val="0"/>
          <w:highlight w:val="none"/>
        </w:rPr>
        <w:t>与食品直接接触区域</w:t>
      </w:r>
      <w:r>
        <w:rPr>
          <w:rFonts w:hint="eastAsia" w:ascii="宋体" w:hAnsi="宋体" w:cs="宋体"/>
          <w:kern w:val="0"/>
          <w:highlight w:val="none"/>
        </w:rPr>
        <w:t>的</w:t>
      </w:r>
      <w:r>
        <w:rPr>
          <w:rFonts w:ascii="宋体" w:hAnsi="宋体" w:cs="宋体"/>
          <w:kern w:val="0"/>
          <w:highlight w:val="none"/>
        </w:rPr>
        <w:t>焊条、焊丝</w:t>
      </w:r>
      <w:r>
        <w:rPr>
          <w:rFonts w:hint="eastAsia" w:ascii="宋体" w:hAnsi="宋体" w:cs="宋体"/>
          <w:color w:val="000000"/>
          <w:kern w:val="0"/>
          <w:szCs w:val="21"/>
          <w:highlight w:val="none"/>
        </w:rPr>
        <w:t>材质报告单及质量合格证明书</w:t>
      </w:r>
      <w:r>
        <w:rPr>
          <w:rFonts w:hint="eastAsia" w:ascii="宋体" w:hAnsi="宋体" w:cs="宋体"/>
          <w:kern w:val="0"/>
          <w:highlight w:val="none"/>
        </w:rPr>
        <w:t>以及上粉机基体</w:t>
      </w:r>
      <w:r>
        <w:rPr>
          <w:rFonts w:ascii="宋体" w:hAnsi="宋体" w:cs="宋体"/>
          <w:kern w:val="0"/>
          <w:highlight w:val="none"/>
        </w:rPr>
        <w:t>材质质保资料。</w:t>
      </w:r>
      <w:bookmarkEnd w:id="369"/>
      <w:bookmarkEnd w:id="370"/>
      <w:bookmarkEnd w:id="371"/>
    </w:p>
    <w:p w14:paraId="78BD7B4B">
      <w:pPr>
        <w:numPr>
          <w:ilvl w:val="3"/>
          <w:numId w:val="18"/>
        </w:numPr>
        <w:outlineLvl w:val="2"/>
        <w:rPr>
          <w:rFonts w:hint="eastAsia" w:ascii="宋体" w:hAnsi="宋体" w:cs="宋体"/>
          <w:kern w:val="0"/>
          <w:highlight w:val="none"/>
        </w:rPr>
      </w:pPr>
      <w:bookmarkStart w:id="372" w:name="_Toc234307619"/>
      <w:bookmarkStart w:id="373" w:name="_Toc16434"/>
      <w:bookmarkStart w:id="374" w:name="_Toc5693"/>
      <w:r>
        <w:rPr>
          <w:rFonts w:hint="eastAsia" w:ascii="宋体" w:hAnsi="宋体" w:cs="宋体"/>
          <w:kern w:val="0"/>
          <w:highlight w:val="none"/>
        </w:rPr>
        <w:t>目测或触摸检查上粉机焊缝和焊接表面，并用精度不低于0.1 mm的半径</w:t>
      </w:r>
      <w:r>
        <w:rPr>
          <w:rFonts w:ascii="宋体" w:hAnsi="宋体" w:cs="宋体"/>
          <w:kern w:val="0"/>
          <w:highlight w:val="none"/>
        </w:rPr>
        <w:t>规</w:t>
      </w:r>
      <w:r>
        <w:rPr>
          <w:rFonts w:hint="eastAsia" w:ascii="宋体" w:hAnsi="宋体" w:cs="宋体"/>
          <w:kern w:val="0"/>
          <w:highlight w:val="none"/>
        </w:rPr>
        <w:t>检测焊缝内圆角半径。</w:t>
      </w:r>
      <w:bookmarkEnd w:id="372"/>
      <w:bookmarkEnd w:id="373"/>
      <w:bookmarkEnd w:id="374"/>
    </w:p>
    <w:p w14:paraId="182FEE8D">
      <w:pPr>
        <w:numPr>
          <w:ilvl w:val="3"/>
          <w:numId w:val="18"/>
        </w:numPr>
        <w:outlineLvl w:val="2"/>
        <w:rPr>
          <w:rFonts w:hint="eastAsia" w:ascii="宋体" w:hAnsi="宋体" w:cs="宋体"/>
          <w:kern w:val="0"/>
          <w:highlight w:val="none"/>
        </w:rPr>
      </w:pPr>
      <w:bookmarkStart w:id="375" w:name="_Toc4987"/>
      <w:bookmarkStart w:id="376" w:name="_Toc234307620"/>
      <w:bookmarkStart w:id="377" w:name="_Toc27403"/>
      <w:r>
        <w:rPr>
          <w:rFonts w:hint="eastAsia" w:ascii="宋体" w:hAnsi="宋体" w:cs="宋体"/>
          <w:kern w:val="0"/>
          <w:highlight w:val="none"/>
        </w:rPr>
        <w:t>用精度</w:t>
      </w:r>
      <w:r>
        <w:rPr>
          <w:rFonts w:hint="eastAsia" w:ascii="宋体" w:hAnsi="宋体" w:cs="宋体"/>
          <w:kern w:val="0"/>
          <w:highlight w:val="none"/>
        </w:rPr>
        <w:t>不低于0.02 mm的半</w:t>
      </w:r>
      <w:r>
        <w:rPr>
          <w:rFonts w:hint="eastAsia" w:ascii="宋体" w:hAnsi="宋体" w:cs="宋体"/>
          <w:kern w:val="0"/>
          <w:highlight w:val="none"/>
        </w:rPr>
        <w:t>径</w:t>
      </w:r>
      <w:r>
        <w:rPr>
          <w:rFonts w:ascii="宋体" w:hAnsi="宋体" w:cs="宋体"/>
          <w:kern w:val="0"/>
          <w:highlight w:val="none"/>
        </w:rPr>
        <w:t>规</w:t>
      </w:r>
      <w:r>
        <w:rPr>
          <w:rFonts w:hint="eastAsia" w:ascii="宋体" w:hAnsi="宋体" w:cs="宋体"/>
          <w:kern w:val="0"/>
          <w:highlight w:val="none"/>
        </w:rPr>
        <w:t>检测上粉机</w:t>
      </w:r>
      <w:r>
        <w:rPr>
          <w:rFonts w:ascii="宋体" w:hAnsi="宋体" w:cs="宋体"/>
          <w:kern w:val="0"/>
          <w:highlight w:val="none"/>
        </w:rPr>
        <w:t>棱角倒圆</w:t>
      </w:r>
      <w:r>
        <w:rPr>
          <w:rFonts w:hint="eastAsia" w:ascii="宋体" w:hAnsi="宋体" w:cs="宋体"/>
          <w:kern w:val="0"/>
          <w:highlight w:val="none"/>
        </w:rPr>
        <w:t>半径。</w:t>
      </w:r>
      <w:bookmarkEnd w:id="375"/>
      <w:bookmarkEnd w:id="376"/>
      <w:bookmarkEnd w:id="377"/>
    </w:p>
    <w:p w14:paraId="01DF45E8">
      <w:pPr>
        <w:numPr>
          <w:ilvl w:val="3"/>
          <w:numId w:val="18"/>
        </w:numPr>
        <w:outlineLvl w:val="2"/>
        <w:rPr>
          <w:rFonts w:hint="eastAsia" w:ascii="宋体" w:hAnsi="宋体" w:cs="宋体"/>
          <w:kern w:val="0"/>
          <w:highlight w:val="none"/>
        </w:rPr>
      </w:pPr>
      <w:bookmarkStart w:id="378" w:name="_Toc30338"/>
      <w:bookmarkStart w:id="379" w:name="_Toc16943"/>
      <w:bookmarkStart w:id="380" w:name="_Toc234307621"/>
      <w:r>
        <w:rPr>
          <w:rFonts w:hint="eastAsia" w:ascii="宋体" w:hAnsi="宋体" w:cs="宋体"/>
          <w:kern w:val="0"/>
          <w:highlight w:val="none"/>
        </w:rPr>
        <w:t>按SB/T 228的规定检查上粉机表面涂漆质量。</w:t>
      </w:r>
      <w:bookmarkEnd w:id="378"/>
      <w:bookmarkEnd w:id="379"/>
      <w:bookmarkEnd w:id="380"/>
    </w:p>
    <w:p w14:paraId="6D898EF9">
      <w:pPr>
        <w:widowControl/>
        <w:numPr>
          <w:ilvl w:val="2"/>
          <w:numId w:val="18"/>
        </w:numPr>
        <w:spacing w:before="156" w:beforeLines="50" w:after="156" w:afterLines="50"/>
        <w:outlineLvl w:val="1"/>
        <w:rPr>
          <w:rFonts w:ascii="黑体" w:eastAsia="黑体"/>
          <w:kern w:val="0"/>
          <w:szCs w:val="21"/>
          <w:highlight w:val="none"/>
        </w:rPr>
      </w:pPr>
      <w:bookmarkStart w:id="381" w:name="_Toc196238820"/>
      <w:bookmarkStart w:id="382" w:name="_Toc12300"/>
      <w:r>
        <w:rPr>
          <w:rFonts w:hint="eastAsia" w:ascii="黑体" w:eastAsia="黑体"/>
          <w:kern w:val="0"/>
          <w:szCs w:val="21"/>
          <w:highlight w:val="none"/>
        </w:rPr>
        <w:t>装配</w:t>
      </w:r>
      <w:r>
        <w:rPr>
          <w:rFonts w:hint="eastAsia" w:eastAsia="黑体"/>
          <w:kern w:val="0"/>
          <w:szCs w:val="21"/>
          <w:highlight w:val="none"/>
        </w:rPr>
        <w:t>要求</w:t>
      </w:r>
      <w:r>
        <w:rPr>
          <w:rFonts w:hint="eastAsia" w:ascii="黑体" w:eastAsia="黑体"/>
          <w:kern w:val="0"/>
          <w:szCs w:val="21"/>
          <w:highlight w:val="none"/>
        </w:rPr>
        <w:t>检查</w:t>
      </w:r>
      <w:bookmarkEnd w:id="381"/>
      <w:bookmarkEnd w:id="382"/>
    </w:p>
    <w:p w14:paraId="513EE16A">
      <w:pPr>
        <w:numPr>
          <w:ilvl w:val="3"/>
          <w:numId w:val="18"/>
        </w:numPr>
        <w:outlineLvl w:val="2"/>
        <w:rPr>
          <w:rFonts w:hint="eastAsia" w:ascii="宋体" w:hAnsi="宋体" w:cs="宋体"/>
          <w:kern w:val="0"/>
          <w:highlight w:val="none"/>
        </w:rPr>
      </w:pPr>
      <w:bookmarkStart w:id="383" w:name="_Toc28868"/>
      <w:bookmarkStart w:id="384" w:name="_Toc234307623"/>
      <w:bookmarkStart w:id="385" w:name="_Toc27734"/>
      <w:r>
        <w:rPr>
          <w:rFonts w:hint="eastAsia" w:ascii="宋体" w:hAnsi="宋体" w:cs="宋体"/>
          <w:kern w:val="0"/>
          <w:highlight w:val="none"/>
        </w:rPr>
        <w:t>按</w:t>
      </w:r>
      <w:r>
        <w:rPr>
          <w:rFonts w:ascii="宋体" w:hAnsi="宋体" w:cs="宋体"/>
          <w:kern w:val="0"/>
          <w:highlight w:val="none"/>
        </w:rPr>
        <w:t>S</w:t>
      </w:r>
      <w:r>
        <w:rPr>
          <w:rFonts w:hint="eastAsia" w:ascii="宋体" w:hAnsi="宋体" w:cs="宋体"/>
          <w:kern w:val="0"/>
          <w:highlight w:val="none"/>
        </w:rPr>
        <w:t xml:space="preserve">B/T </w:t>
      </w:r>
      <w:r>
        <w:rPr>
          <w:rFonts w:ascii="宋体" w:hAnsi="宋体" w:cs="宋体"/>
          <w:kern w:val="0"/>
          <w:highlight w:val="none"/>
        </w:rPr>
        <w:t>224</w:t>
      </w:r>
      <w:r>
        <w:rPr>
          <w:rFonts w:hint="eastAsia" w:ascii="宋体" w:hAnsi="宋体" w:cs="宋体"/>
          <w:kern w:val="0"/>
          <w:highlight w:val="none"/>
        </w:rPr>
        <w:t>的规定检查上粉机的装配情况。</w:t>
      </w:r>
      <w:bookmarkEnd w:id="383"/>
      <w:bookmarkEnd w:id="384"/>
      <w:bookmarkEnd w:id="385"/>
    </w:p>
    <w:p w14:paraId="745A931F">
      <w:pPr>
        <w:numPr>
          <w:ilvl w:val="3"/>
          <w:numId w:val="18"/>
        </w:numPr>
        <w:outlineLvl w:val="2"/>
        <w:rPr>
          <w:rFonts w:hint="eastAsia" w:ascii="宋体" w:hAnsi="宋体" w:cs="宋体"/>
          <w:kern w:val="0"/>
          <w:highlight w:val="none"/>
        </w:rPr>
      </w:pPr>
      <w:bookmarkStart w:id="386" w:name="_Toc8993"/>
      <w:bookmarkStart w:id="387" w:name="_Toc4769"/>
      <w:bookmarkStart w:id="388" w:name="_Toc234307624"/>
      <w:r>
        <w:rPr>
          <w:rFonts w:hint="eastAsia" w:ascii="宋体" w:hAnsi="宋体" w:cs="宋体"/>
          <w:kern w:val="0"/>
          <w:highlight w:val="none"/>
        </w:rPr>
        <w:t>目测或触摸检查上粉机待装配零部件的表面情况和料仓的洁净度。</w:t>
      </w:r>
      <w:bookmarkEnd w:id="386"/>
      <w:bookmarkEnd w:id="387"/>
      <w:bookmarkEnd w:id="388"/>
    </w:p>
    <w:p w14:paraId="51CAF084">
      <w:pPr>
        <w:numPr>
          <w:ilvl w:val="3"/>
          <w:numId w:val="18"/>
        </w:numPr>
        <w:outlineLvl w:val="2"/>
        <w:rPr>
          <w:rFonts w:hint="eastAsia" w:ascii="宋体" w:hAnsi="宋体" w:cs="宋体"/>
          <w:kern w:val="0"/>
          <w:highlight w:val="none"/>
        </w:rPr>
      </w:pPr>
      <w:bookmarkStart w:id="389" w:name="_Toc3224"/>
      <w:bookmarkStart w:id="390" w:name="_Toc13353"/>
      <w:bookmarkStart w:id="391" w:name="_Toc234307625"/>
      <w:r>
        <w:rPr>
          <w:rFonts w:hint="eastAsia" w:ascii="宋体" w:hAnsi="宋体" w:cs="宋体"/>
          <w:kern w:val="0"/>
          <w:highlight w:val="none"/>
        </w:rPr>
        <w:t>目测或触摸检查上粉机零部件的连接情况。</w:t>
      </w:r>
      <w:bookmarkEnd w:id="389"/>
      <w:bookmarkEnd w:id="390"/>
      <w:bookmarkEnd w:id="391"/>
    </w:p>
    <w:p w14:paraId="7179D34A">
      <w:pPr>
        <w:numPr>
          <w:ilvl w:val="3"/>
          <w:numId w:val="18"/>
        </w:numPr>
        <w:outlineLvl w:val="2"/>
        <w:rPr>
          <w:rFonts w:hint="eastAsia" w:ascii="宋体" w:hAnsi="宋体" w:cs="宋体"/>
          <w:kern w:val="0"/>
          <w:highlight w:val="none"/>
        </w:rPr>
      </w:pPr>
      <w:bookmarkStart w:id="392" w:name="_Toc4320"/>
      <w:bookmarkStart w:id="393" w:name="_Toc15527"/>
      <w:bookmarkStart w:id="394" w:name="_Toc234307626"/>
      <w:r>
        <w:rPr>
          <w:rFonts w:hint="eastAsia" w:ascii="宋体" w:hAnsi="宋体" w:cs="宋体"/>
          <w:kern w:val="0"/>
          <w:highlight w:val="none"/>
        </w:rPr>
        <w:t>目测或触摸检查上粉机输送装置的装卸情况以及网带的张紧程度。</w:t>
      </w:r>
      <w:bookmarkEnd w:id="392"/>
      <w:bookmarkEnd w:id="393"/>
      <w:bookmarkEnd w:id="394"/>
    </w:p>
    <w:p w14:paraId="69ABA7D4">
      <w:pPr>
        <w:numPr>
          <w:ilvl w:val="3"/>
          <w:numId w:val="18"/>
        </w:numPr>
        <w:outlineLvl w:val="2"/>
        <w:rPr>
          <w:rFonts w:hint="eastAsia" w:ascii="宋体" w:hAnsi="宋体" w:cs="宋体"/>
          <w:kern w:val="0"/>
          <w:highlight w:val="none"/>
        </w:rPr>
      </w:pPr>
      <w:bookmarkStart w:id="395" w:name="_Toc17265"/>
      <w:bookmarkStart w:id="396" w:name="_Toc234307627"/>
      <w:bookmarkStart w:id="397" w:name="_Toc9645"/>
      <w:r>
        <w:rPr>
          <w:rFonts w:hint="eastAsia" w:ascii="宋体" w:hAnsi="宋体" w:cs="宋体"/>
          <w:kern w:val="0"/>
          <w:szCs w:val="21"/>
          <w:highlight w:val="none"/>
        </w:rPr>
        <w:t>按</w:t>
      </w:r>
      <w:r>
        <w:rPr>
          <w:rFonts w:ascii="宋体" w:hAnsi="宋体" w:cs="宋体"/>
          <w:kern w:val="0"/>
          <w:szCs w:val="21"/>
          <w:highlight w:val="none"/>
        </w:rPr>
        <w:t>GB/T 14253的规定</w:t>
      </w:r>
      <w:r>
        <w:rPr>
          <w:rFonts w:hint="eastAsia" w:ascii="宋体" w:hAnsi="宋体" w:cs="宋体"/>
          <w:highlight w:val="none"/>
        </w:rPr>
        <w:t>检查上粉机</w:t>
      </w:r>
      <w:r>
        <w:rPr>
          <w:rFonts w:ascii="宋体" w:hAnsi="宋体" w:cs="宋体"/>
          <w:kern w:val="0"/>
          <w:szCs w:val="21"/>
          <w:highlight w:val="none"/>
        </w:rPr>
        <w:t>装配后的外观质量</w:t>
      </w:r>
      <w:r>
        <w:rPr>
          <w:rFonts w:hint="eastAsia" w:ascii="宋体" w:hAnsi="宋体" w:cs="宋体"/>
          <w:kern w:val="0"/>
          <w:highlight w:val="none"/>
        </w:rPr>
        <w:t>。</w:t>
      </w:r>
      <w:bookmarkEnd w:id="395"/>
      <w:bookmarkEnd w:id="396"/>
      <w:bookmarkEnd w:id="397"/>
    </w:p>
    <w:p w14:paraId="79526A38">
      <w:pPr>
        <w:widowControl/>
        <w:numPr>
          <w:ilvl w:val="2"/>
          <w:numId w:val="18"/>
        </w:numPr>
        <w:spacing w:before="156" w:beforeLines="50" w:after="156" w:afterLines="50"/>
        <w:outlineLvl w:val="1"/>
        <w:rPr>
          <w:rFonts w:ascii="黑体" w:eastAsia="黑体"/>
          <w:kern w:val="0"/>
          <w:szCs w:val="21"/>
          <w:highlight w:val="none"/>
        </w:rPr>
      </w:pPr>
      <w:bookmarkStart w:id="398" w:name="_Toc20265"/>
      <w:r>
        <w:rPr>
          <w:rFonts w:hint="eastAsia" w:ascii="黑体" w:eastAsia="黑体"/>
          <w:kern w:val="0"/>
          <w:szCs w:val="21"/>
          <w:highlight w:val="none"/>
        </w:rPr>
        <w:t>主要零部件及系统</w:t>
      </w:r>
      <w:r>
        <w:rPr>
          <w:rFonts w:hint="eastAsia" w:eastAsia="黑体"/>
          <w:kern w:val="0"/>
          <w:szCs w:val="21"/>
          <w:highlight w:val="none"/>
        </w:rPr>
        <w:t>要求</w:t>
      </w:r>
      <w:r>
        <w:rPr>
          <w:rFonts w:hint="eastAsia" w:ascii="黑体" w:eastAsia="黑体"/>
          <w:kern w:val="0"/>
          <w:szCs w:val="21"/>
          <w:highlight w:val="none"/>
        </w:rPr>
        <w:t>检查</w:t>
      </w:r>
      <w:bookmarkEnd w:id="398"/>
    </w:p>
    <w:p w14:paraId="69C1F05C">
      <w:pPr>
        <w:widowControl/>
        <w:numPr>
          <w:ilvl w:val="3"/>
          <w:numId w:val="18"/>
        </w:numPr>
        <w:spacing w:before="120" w:after="120"/>
        <w:outlineLvl w:val="2"/>
        <w:rPr>
          <w:rFonts w:eastAsia="黑体"/>
          <w:kern w:val="0"/>
          <w:szCs w:val="21"/>
          <w:highlight w:val="none"/>
        </w:rPr>
      </w:pPr>
      <w:bookmarkStart w:id="399" w:name="_Toc234307631"/>
      <w:bookmarkStart w:id="400" w:name="_Toc32508"/>
      <w:bookmarkStart w:id="401" w:name="_Toc196241199"/>
      <w:bookmarkStart w:id="402" w:name="_Toc30856"/>
      <w:r>
        <w:rPr>
          <w:rFonts w:hint="eastAsia" w:eastAsia="黑体"/>
          <w:kern w:val="0"/>
          <w:szCs w:val="21"/>
          <w:highlight w:val="none"/>
        </w:rPr>
        <w:t>主要零部件要求检查</w:t>
      </w:r>
      <w:bookmarkEnd w:id="399"/>
      <w:bookmarkEnd w:id="400"/>
      <w:bookmarkEnd w:id="401"/>
      <w:bookmarkEnd w:id="402"/>
    </w:p>
    <w:p w14:paraId="502EE9BD">
      <w:pPr>
        <w:numPr>
          <w:ilvl w:val="4"/>
          <w:numId w:val="18"/>
        </w:numPr>
        <w:outlineLvl w:val="3"/>
        <w:rPr>
          <w:rFonts w:hint="eastAsia" w:ascii="宋体" w:hAnsi="宋体" w:cs="宋体"/>
          <w:kern w:val="0"/>
          <w:szCs w:val="21"/>
          <w:highlight w:val="none"/>
        </w:rPr>
      </w:pPr>
      <w:r>
        <w:rPr>
          <w:rFonts w:hint="eastAsia" w:ascii="宋体" w:hAnsi="宋体" w:cs="宋体"/>
          <w:highlight w:val="none"/>
          <w:lang w:bidi="ar"/>
        </w:rPr>
        <w:t>目测或触摸检查零部件结合面边缘的整齐均匀性以及门或盖结合面的缝隙是否超过规定</w:t>
      </w:r>
      <w:r>
        <w:rPr>
          <w:rFonts w:hint="eastAsia" w:ascii="宋体" w:hAnsi="宋体" w:cs="宋体"/>
          <w:kern w:val="0"/>
          <w:szCs w:val="21"/>
          <w:highlight w:val="none"/>
        </w:rPr>
        <w:t>。</w:t>
      </w:r>
    </w:p>
    <w:p w14:paraId="32C9DC37">
      <w:pPr>
        <w:numPr>
          <w:ilvl w:val="4"/>
          <w:numId w:val="18"/>
        </w:numPr>
        <w:outlineLvl w:val="3"/>
        <w:rPr>
          <w:rFonts w:hint="eastAsia" w:ascii="宋体" w:hAnsi="宋体" w:cs="宋体"/>
          <w:kern w:val="0"/>
          <w:szCs w:val="21"/>
          <w:highlight w:val="none"/>
        </w:rPr>
      </w:pPr>
      <w:r>
        <w:rPr>
          <w:rFonts w:hint="eastAsia" w:ascii="宋体" w:hAnsi="宋体" w:cs="宋体"/>
          <w:kern w:val="0"/>
          <w:szCs w:val="21"/>
          <w:highlight w:val="none"/>
        </w:rPr>
        <w:t>目测或触摸检查上粉机控粉挡板的表面情况和</w:t>
      </w:r>
      <w:r>
        <w:rPr>
          <w:rFonts w:ascii="宋体" w:hAnsi="宋体" w:cs="宋体"/>
          <w:kern w:val="0"/>
          <w:szCs w:val="21"/>
          <w:highlight w:val="none"/>
        </w:rPr>
        <w:t>调节刻度标识</w:t>
      </w:r>
      <w:r>
        <w:rPr>
          <w:rFonts w:hint="eastAsia" w:ascii="宋体" w:hAnsi="宋体" w:cs="宋体"/>
          <w:kern w:val="0"/>
          <w:szCs w:val="21"/>
          <w:highlight w:val="none"/>
        </w:rPr>
        <w:t>的</w:t>
      </w:r>
      <w:r>
        <w:rPr>
          <w:rFonts w:ascii="宋体" w:hAnsi="宋体" w:cs="宋体"/>
          <w:kern w:val="0"/>
          <w:szCs w:val="21"/>
          <w:highlight w:val="none"/>
        </w:rPr>
        <w:t>清晰</w:t>
      </w:r>
      <w:r>
        <w:rPr>
          <w:rFonts w:hint="eastAsia" w:ascii="宋体" w:hAnsi="宋体" w:cs="宋体"/>
          <w:kern w:val="0"/>
          <w:szCs w:val="21"/>
          <w:highlight w:val="none"/>
        </w:rPr>
        <w:t>度。</w:t>
      </w:r>
    </w:p>
    <w:p w14:paraId="0511FAAF">
      <w:pPr>
        <w:widowControl/>
        <w:numPr>
          <w:ilvl w:val="4"/>
          <w:numId w:val="18"/>
        </w:numPr>
        <w:outlineLvl w:val="3"/>
        <w:rPr>
          <w:rFonts w:hint="eastAsia" w:ascii="宋体" w:hAnsi="宋体" w:cs="宋体"/>
          <w:kern w:val="0"/>
          <w:szCs w:val="21"/>
          <w:highlight w:val="none"/>
        </w:rPr>
      </w:pPr>
      <w:bookmarkStart w:id="403" w:name="_Toc12522"/>
      <w:r>
        <w:rPr>
          <w:rFonts w:hint="eastAsia" w:ascii="宋体" w:hAnsi="宋体" w:cs="宋体"/>
          <w:kern w:val="0"/>
          <w:szCs w:val="21"/>
          <w:highlight w:val="none"/>
        </w:rPr>
        <w:t>上粉机正常工作时，目测检查控粉挡板的调节、落粉和</w:t>
      </w:r>
      <w:r>
        <w:rPr>
          <w:rFonts w:ascii="宋体" w:hAnsi="宋体" w:cs="宋体"/>
          <w:kern w:val="0"/>
          <w:szCs w:val="21"/>
          <w:highlight w:val="none"/>
        </w:rPr>
        <w:t>锁紧</w:t>
      </w:r>
      <w:r>
        <w:rPr>
          <w:rFonts w:hint="eastAsia" w:ascii="宋体" w:hAnsi="宋体" w:cs="宋体"/>
          <w:kern w:val="0"/>
          <w:szCs w:val="21"/>
          <w:highlight w:val="none"/>
        </w:rPr>
        <w:t>情况。</w:t>
      </w:r>
      <w:bookmarkEnd w:id="403"/>
    </w:p>
    <w:p w14:paraId="1DCAB0BE">
      <w:pPr>
        <w:widowControl/>
        <w:numPr>
          <w:ilvl w:val="4"/>
          <w:numId w:val="18"/>
        </w:numPr>
        <w:outlineLvl w:val="3"/>
        <w:rPr>
          <w:rFonts w:hint="eastAsia" w:ascii="宋体" w:hAnsi="宋体" w:cs="宋体"/>
          <w:kern w:val="0"/>
          <w:szCs w:val="21"/>
          <w:highlight w:val="none"/>
        </w:rPr>
      </w:pPr>
      <w:bookmarkStart w:id="404" w:name="_Toc23550"/>
      <w:r>
        <w:rPr>
          <w:rFonts w:hint="eastAsia" w:ascii="宋体" w:hAnsi="宋体" w:cs="宋体"/>
          <w:kern w:val="0"/>
          <w:szCs w:val="21"/>
          <w:highlight w:val="none"/>
        </w:rPr>
        <w:t>上粉机正常工作时，目测检查料仓和控粉挡板是否存在漏粉情况。</w:t>
      </w:r>
      <w:bookmarkEnd w:id="404"/>
    </w:p>
    <w:p w14:paraId="03EB201A">
      <w:pPr>
        <w:widowControl/>
        <w:numPr>
          <w:ilvl w:val="4"/>
          <w:numId w:val="18"/>
        </w:numPr>
        <w:outlineLvl w:val="3"/>
        <w:rPr>
          <w:highlight w:val="none"/>
        </w:rPr>
      </w:pPr>
      <w:bookmarkStart w:id="405" w:name="_Toc19269"/>
      <w:r>
        <w:rPr>
          <w:rFonts w:hint="eastAsia" w:ascii="宋体" w:hAnsi="宋体" w:cs="宋体"/>
          <w:kern w:val="0"/>
          <w:szCs w:val="21"/>
          <w:highlight w:val="none"/>
        </w:rPr>
        <w:t>目测检查压辊宽度是否不小于输送网带有效宽度。</w:t>
      </w:r>
      <w:bookmarkEnd w:id="405"/>
    </w:p>
    <w:p w14:paraId="6E3B25F6">
      <w:pPr>
        <w:widowControl/>
        <w:numPr>
          <w:ilvl w:val="4"/>
          <w:numId w:val="18"/>
        </w:numPr>
        <w:outlineLvl w:val="3"/>
        <w:rPr>
          <w:highlight w:val="none"/>
        </w:rPr>
      </w:pPr>
      <w:bookmarkStart w:id="406" w:name="_Toc9303"/>
      <w:r>
        <w:rPr>
          <w:rFonts w:hint="eastAsia" w:ascii="宋体" w:hAnsi="宋体" w:cs="宋体"/>
          <w:kern w:val="0"/>
          <w:szCs w:val="21"/>
          <w:highlight w:val="none"/>
        </w:rPr>
        <w:t>上粉机正常工作时，目测检查压辊与输送网带之间的同步运行情况和间隙调整情况。</w:t>
      </w:r>
      <w:bookmarkEnd w:id="406"/>
    </w:p>
    <w:p w14:paraId="6E2C4820">
      <w:pPr>
        <w:widowControl/>
        <w:numPr>
          <w:ilvl w:val="4"/>
          <w:numId w:val="18"/>
        </w:numPr>
        <w:outlineLvl w:val="3"/>
        <w:rPr>
          <w:rFonts w:hint="eastAsia" w:ascii="宋体" w:hAnsi="宋体" w:cs="宋体"/>
          <w:kern w:val="0"/>
          <w:szCs w:val="21"/>
          <w:highlight w:val="none"/>
        </w:rPr>
      </w:pPr>
      <w:bookmarkStart w:id="407" w:name="_Toc31520"/>
      <w:r>
        <w:rPr>
          <w:rFonts w:hint="eastAsia" w:ascii="宋体" w:hAnsi="宋体" w:cs="宋体"/>
          <w:kern w:val="0"/>
          <w:szCs w:val="21"/>
          <w:highlight w:val="none"/>
        </w:rPr>
        <w:t>上粉机正常工作时，检查风刀出风的均匀度以及是否存在漏风现象。</w:t>
      </w:r>
      <w:bookmarkEnd w:id="407"/>
    </w:p>
    <w:p w14:paraId="33D7D3E9">
      <w:pPr>
        <w:widowControl/>
        <w:numPr>
          <w:ilvl w:val="4"/>
          <w:numId w:val="18"/>
        </w:numPr>
        <w:outlineLvl w:val="3"/>
        <w:rPr>
          <w:rFonts w:hint="eastAsia" w:ascii="宋体" w:hAnsi="宋体" w:cs="宋体"/>
          <w:kern w:val="0"/>
          <w:szCs w:val="21"/>
          <w:highlight w:val="none"/>
        </w:rPr>
      </w:pPr>
      <w:bookmarkStart w:id="408" w:name="_Toc3257"/>
      <w:r>
        <w:rPr>
          <w:rFonts w:hint="eastAsia" w:ascii="宋体" w:hAnsi="宋体" w:cs="宋体"/>
          <w:kern w:val="0"/>
          <w:szCs w:val="21"/>
          <w:highlight w:val="none"/>
        </w:rPr>
        <w:t>上</w:t>
      </w:r>
      <w:r>
        <w:rPr>
          <w:rFonts w:hint="eastAsia" w:ascii="宋体" w:hAnsi="宋体" w:cs="宋体"/>
          <w:kern w:val="0"/>
          <w:szCs w:val="21"/>
          <w:highlight w:val="none"/>
        </w:rPr>
        <w:t>粉机正常工作时，检</w:t>
      </w:r>
      <w:r>
        <w:rPr>
          <w:rFonts w:hint="eastAsia" w:ascii="宋体" w:hAnsi="宋体" w:cs="宋体"/>
          <w:kern w:val="0"/>
          <w:szCs w:val="21"/>
          <w:highlight w:val="none"/>
        </w:rPr>
        <w:t>查上粉机风刀宽度与输送网带有效宽度的匹配情况以及风刀出风角度和上下位置的调节情况。</w:t>
      </w:r>
      <w:bookmarkEnd w:id="408"/>
    </w:p>
    <w:p w14:paraId="79E954DA">
      <w:pPr>
        <w:widowControl/>
        <w:numPr>
          <w:ilvl w:val="4"/>
          <w:numId w:val="18"/>
        </w:numPr>
        <w:outlineLvl w:val="3"/>
        <w:rPr>
          <w:rFonts w:hint="eastAsia" w:ascii="宋体" w:hAnsi="宋体" w:cs="宋体"/>
          <w:kern w:val="0"/>
          <w:szCs w:val="21"/>
          <w:highlight w:val="none"/>
        </w:rPr>
      </w:pPr>
      <w:bookmarkStart w:id="409" w:name="_Toc8767"/>
      <w:r>
        <w:rPr>
          <w:rFonts w:hint="eastAsia" w:ascii="宋体" w:hAnsi="宋体" w:cs="宋体"/>
          <w:kern w:val="0"/>
          <w:szCs w:val="21"/>
          <w:highlight w:val="none"/>
        </w:rPr>
        <w:t>上粉机正常工作时，检查吸风口吸力大小以及是否存在粉尘外溢情况，并在停机后检查是否存在倒吸现象。</w:t>
      </w:r>
      <w:bookmarkEnd w:id="409"/>
    </w:p>
    <w:p w14:paraId="07692CC7">
      <w:pPr>
        <w:widowControl/>
        <w:numPr>
          <w:ilvl w:val="4"/>
          <w:numId w:val="18"/>
        </w:numPr>
        <w:outlineLvl w:val="3"/>
        <w:rPr>
          <w:rFonts w:hint="eastAsia" w:ascii="宋体" w:hAnsi="宋体" w:cs="宋体"/>
          <w:kern w:val="0"/>
          <w:szCs w:val="21"/>
          <w:highlight w:val="none"/>
        </w:rPr>
      </w:pPr>
      <w:bookmarkStart w:id="410" w:name="_Toc7725"/>
      <w:r>
        <w:rPr>
          <w:rFonts w:hint="eastAsia" w:ascii="宋体" w:hAnsi="宋体" w:cs="宋体"/>
          <w:kern w:val="0"/>
          <w:szCs w:val="21"/>
          <w:highlight w:val="none"/>
        </w:rPr>
        <w:t>目测或触摸检查滚筒式上粉机滚筒的转动、出料角度调整和内部导料板方向排布情况以及是否存在滞留物料的死角。</w:t>
      </w:r>
      <w:bookmarkEnd w:id="410"/>
    </w:p>
    <w:p w14:paraId="68E79240">
      <w:pPr>
        <w:widowControl/>
        <w:numPr>
          <w:ilvl w:val="3"/>
          <w:numId w:val="18"/>
        </w:numPr>
        <w:spacing w:before="120" w:after="120"/>
        <w:outlineLvl w:val="2"/>
        <w:rPr>
          <w:rFonts w:eastAsia="黑体"/>
          <w:kern w:val="0"/>
          <w:szCs w:val="21"/>
          <w:highlight w:val="none"/>
        </w:rPr>
      </w:pPr>
      <w:bookmarkStart w:id="411" w:name="_Toc7390"/>
      <w:bookmarkStart w:id="412" w:name="_Toc196241200"/>
      <w:bookmarkStart w:id="413" w:name="_Toc234307632"/>
      <w:bookmarkStart w:id="414" w:name="_Toc196238819"/>
      <w:bookmarkStart w:id="415" w:name="_Toc25236"/>
      <w:r>
        <w:rPr>
          <w:rFonts w:hint="eastAsia" w:eastAsia="黑体"/>
          <w:kern w:val="0"/>
          <w:szCs w:val="21"/>
          <w:highlight w:val="none"/>
        </w:rPr>
        <w:t>自动控制系统要求检查</w:t>
      </w:r>
      <w:bookmarkEnd w:id="411"/>
      <w:bookmarkEnd w:id="412"/>
      <w:bookmarkEnd w:id="413"/>
      <w:bookmarkEnd w:id="414"/>
      <w:bookmarkEnd w:id="415"/>
    </w:p>
    <w:p w14:paraId="16E297CA">
      <w:pPr>
        <w:widowControl/>
        <w:numPr>
          <w:ilvl w:val="4"/>
          <w:numId w:val="18"/>
        </w:numPr>
        <w:spacing w:before="156" w:beforeLines="50" w:after="156" w:afterLines="50"/>
        <w:outlineLvl w:val="3"/>
        <w:rPr>
          <w:rFonts w:ascii="黑体" w:eastAsia="黑体"/>
          <w:kern w:val="0"/>
          <w:szCs w:val="21"/>
          <w:highlight w:val="none"/>
        </w:rPr>
      </w:pPr>
      <w:r>
        <w:rPr>
          <w:rFonts w:hint="eastAsia" w:ascii="黑体" w:eastAsia="黑体"/>
          <w:kern w:val="0"/>
          <w:szCs w:val="21"/>
          <w:highlight w:val="none"/>
        </w:rPr>
        <w:t>基本要求检查</w:t>
      </w:r>
    </w:p>
    <w:p w14:paraId="0DE5E180">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按GB/T 30093的规定检查</w:t>
      </w:r>
      <w:r>
        <w:rPr>
          <w:rFonts w:hint="eastAsia" w:ascii="宋体" w:hAnsi="宋体" w:cs="宋体"/>
          <w:kern w:val="0"/>
          <w:highlight w:val="none"/>
        </w:rPr>
        <w:t>上粉机</w:t>
      </w:r>
      <w:r>
        <w:rPr>
          <w:rFonts w:hint="eastAsia" w:ascii="宋体" w:hAnsi="宋体" w:cs="宋体"/>
          <w:kern w:val="0"/>
          <w:szCs w:val="21"/>
          <w:highlight w:val="none"/>
        </w:rPr>
        <w:t>的自动控制系统。</w:t>
      </w:r>
    </w:p>
    <w:p w14:paraId="4708990E">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上粉机正常工作时，目测检查</w:t>
      </w:r>
      <w:r>
        <w:rPr>
          <w:rFonts w:hint="eastAsia" w:ascii="宋体" w:hAnsi="宋体" w:cs="宋体"/>
          <w:kern w:val="0"/>
          <w:highlight w:val="none"/>
        </w:rPr>
        <w:t>上粉机</w:t>
      </w:r>
      <w:r>
        <w:rPr>
          <w:rFonts w:hint="eastAsia" w:ascii="宋体" w:hAnsi="宋体" w:cs="宋体"/>
          <w:kern w:val="0"/>
          <w:szCs w:val="21"/>
          <w:highlight w:val="none"/>
        </w:rPr>
        <w:t>自动控制系统人机操作界面的目录、分类和功能。</w:t>
      </w:r>
    </w:p>
    <w:p w14:paraId="2FE498B6">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上粉机正常工作时，目测检查上粉机自动控制系统的程序内容、报警系统和调整情况。</w:t>
      </w:r>
    </w:p>
    <w:p w14:paraId="6FC343CC">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上粉机正常工作时，目测检查上粉机自动控制系统的预先设定、实时跟踪和自动控制等功能。</w:t>
      </w:r>
    </w:p>
    <w:p w14:paraId="310CE677">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目测或触摸检查上粉机自动控制系统的物理设备的固定情况以及防尘、防水和防电磁干扰等措施。</w:t>
      </w:r>
    </w:p>
    <w:p w14:paraId="56F238B9">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上粉机正常工作时，检查上粉机自动控制系统</w:t>
      </w:r>
      <w:r>
        <w:rPr>
          <w:rFonts w:ascii="宋体" w:hAnsi="宋体" w:cs="宋体"/>
          <w:kern w:val="0"/>
          <w:szCs w:val="21"/>
          <w:highlight w:val="none"/>
        </w:rPr>
        <w:t>与外界信号传输连接</w:t>
      </w:r>
      <w:r>
        <w:rPr>
          <w:rFonts w:hint="eastAsia" w:ascii="宋体" w:hAnsi="宋体" w:cs="宋体"/>
          <w:kern w:val="0"/>
          <w:szCs w:val="21"/>
          <w:highlight w:val="none"/>
        </w:rPr>
        <w:t>情况和</w:t>
      </w:r>
      <w:r>
        <w:rPr>
          <w:rFonts w:ascii="宋体" w:hAnsi="宋体" w:cs="宋体"/>
          <w:kern w:val="0"/>
          <w:szCs w:val="21"/>
          <w:highlight w:val="none"/>
        </w:rPr>
        <w:t>弓形管路</w:t>
      </w:r>
      <w:r>
        <w:rPr>
          <w:rFonts w:hint="eastAsia" w:ascii="宋体" w:hAnsi="宋体" w:cs="宋体"/>
          <w:kern w:val="0"/>
          <w:szCs w:val="21"/>
          <w:highlight w:val="none"/>
        </w:rPr>
        <w:t>防水、防尘情况。</w:t>
      </w:r>
    </w:p>
    <w:p w14:paraId="2576F4B7">
      <w:pPr>
        <w:widowControl/>
        <w:numPr>
          <w:ilvl w:val="4"/>
          <w:numId w:val="18"/>
        </w:numPr>
        <w:spacing w:before="156" w:beforeLines="50" w:after="156" w:afterLines="50"/>
        <w:outlineLvl w:val="3"/>
        <w:rPr>
          <w:rFonts w:ascii="黑体" w:eastAsia="黑体"/>
          <w:kern w:val="0"/>
          <w:szCs w:val="21"/>
          <w:highlight w:val="none"/>
        </w:rPr>
      </w:pPr>
      <w:r>
        <w:rPr>
          <w:rFonts w:ascii="黑体" w:eastAsia="黑体"/>
          <w:kern w:val="0"/>
          <w:szCs w:val="21"/>
          <w:highlight w:val="none"/>
        </w:rPr>
        <w:t>基本电气控制系统</w:t>
      </w:r>
      <w:r>
        <w:rPr>
          <w:rFonts w:hint="eastAsia" w:eastAsia="黑体"/>
          <w:kern w:val="0"/>
          <w:szCs w:val="21"/>
          <w:highlight w:val="none"/>
        </w:rPr>
        <w:t>要求</w:t>
      </w:r>
      <w:r>
        <w:rPr>
          <w:rFonts w:hint="eastAsia" w:ascii="黑体" w:eastAsia="黑体"/>
          <w:kern w:val="0"/>
          <w:szCs w:val="21"/>
          <w:highlight w:val="none"/>
        </w:rPr>
        <w:t>检查</w:t>
      </w:r>
    </w:p>
    <w:p w14:paraId="5F96CC59">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按GB/T 14048.2的规定检查断路器。</w:t>
      </w:r>
    </w:p>
    <w:p w14:paraId="372A5131">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按GB/T 14048.3的规定检查开关、隔离器、隔离开关及熔断器组合电器。</w:t>
      </w:r>
    </w:p>
    <w:p w14:paraId="6D799CFD">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查阅电气原理图确认所有防护门强制断开型安全开关触点、急停常闭安全触点为串联且回路直接接入专用安全继电器双通道输入端，通电待机状态下依次单独打开各防护门、按下急停按钮，验证任一触点断开均可使安全继电器动作并切断设备运行回路，同时模拟触点短接、线路断线故障，确认无旁路失效问题。</w:t>
      </w:r>
    </w:p>
    <w:p w14:paraId="6D888E18">
      <w:pPr>
        <w:widowControl/>
        <w:numPr>
          <w:ilvl w:val="4"/>
          <w:numId w:val="18"/>
        </w:numPr>
        <w:spacing w:before="156" w:beforeLines="50" w:after="156" w:afterLines="50"/>
        <w:outlineLvl w:val="3"/>
        <w:rPr>
          <w:rFonts w:ascii="黑体" w:eastAsia="黑体"/>
          <w:kern w:val="0"/>
          <w:szCs w:val="21"/>
          <w:highlight w:val="none"/>
        </w:rPr>
      </w:pPr>
      <w:r>
        <w:rPr>
          <w:rFonts w:ascii="黑体" w:eastAsia="黑体"/>
          <w:kern w:val="0"/>
          <w:szCs w:val="21"/>
          <w:highlight w:val="none"/>
        </w:rPr>
        <w:t>人机交互型控制系统</w:t>
      </w:r>
      <w:r>
        <w:rPr>
          <w:rFonts w:hint="eastAsia" w:ascii="黑体" w:eastAsia="黑体"/>
          <w:kern w:val="0"/>
          <w:szCs w:val="21"/>
          <w:highlight w:val="none"/>
        </w:rPr>
        <w:t>要求检查</w:t>
      </w:r>
    </w:p>
    <w:p w14:paraId="2AC0160C">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按</w:t>
      </w:r>
      <w:r>
        <w:rPr>
          <w:rFonts w:ascii="宋体" w:hAnsi="宋体" w:cs="宋体"/>
          <w:kern w:val="0"/>
          <w:szCs w:val="21"/>
          <w:highlight w:val="none"/>
        </w:rPr>
        <w:t>GB/T 15969.2的</w:t>
      </w:r>
      <w:r>
        <w:rPr>
          <w:rFonts w:hint="eastAsia" w:ascii="宋体" w:hAnsi="宋体" w:cs="宋体"/>
          <w:kern w:val="0"/>
          <w:szCs w:val="21"/>
          <w:highlight w:val="none"/>
        </w:rPr>
        <w:t>规定检查</w:t>
      </w:r>
      <w:r>
        <w:rPr>
          <w:rFonts w:ascii="宋体" w:hAnsi="宋体" w:cs="宋体"/>
          <w:kern w:val="0"/>
          <w:szCs w:val="21"/>
          <w:highlight w:val="none"/>
        </w:rPr>
        <w:t>PLC、人机界面、工控机</w:t>
      </w:r>
      <w:r>
        <w:rPr>
          <w:rFonts w:hint="eastAsia" w:ascii="宋体" w:hAnsi="宋体" w:cs="宋体"/>
          <w:kern w:val="0"/>
          <w:szCs w:val="21"/>
          <w:highlight w:val="none"/>
        </w:rPr>
        <w:t>和</w:t>
      </w:r>
      <w:r>
        <w:rPr>
          <w:rFonts w:ascii="宋体" w:hAnsi="宋体" w:cs="宋体"/>
          <w:kern w:val="0"/>
          <w:szCs w:val="21"/>
          <w:highlight w:val="none"/>
        </w:rPr>
        <w:t>传感器</w:t>
      </w:r>
      <w:r>
        <w:rPr>
          <w:rFonts w:hint="eastAsia" w:ascii="宋体" w:hAnsi="宋体" w:cs="宋体"/>
          <w:kern w:val="0"/>
          <w:szCs w:val="21"/>
          <w:highlight w:val="none"/>
        </w:rPr>
        <w:t>。</w:t>
      </w:r>
    </w:p>
    <w:p w14:paraId="261A906B">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目测检查</w:t>
      </w:r>
      <w:r>
        <w:rPr>
          <w:rFonts w:ascii="宋体" w:hAnsi="宋体" w:cs="宋体"/>
          <w:kern w:val="0"/>
          <w:szCs w:val="21"/>
          <w:highlight w:val="none"/>
        </w:rPr>
        <w:t>控制软件</w:t>
      </w:r>
      <w:r>
        <w:rPr>
          <w:rFonts w:hint="eastAsia" w:ascii="宋体" w:hAnsi="宋体" w:cs="宋体"/>
          <w:kern w:val="0"/>
          <w:szCs w:val="21"/>
          <w:highlight w:val="none"/>
        </w:rPr>
        <w:t>的</w:t>
      </w:r>
      <w:r>
        <w:rPr>
          <w:rFonts w:ascii="宋体" w:hAnsi="宋体" w:cs="宋体"/>
          <w:kern w:val="0"/>
          <w:szCs w:val="21"/>
          <w:highlight w:val="none"/>
        </w:rPr>
        <w:t>参数掉电保存功能</w:t>
      </w:r>
      <w:r>
        <w:rPr>
          <w:rFonts w:hint="eastAsia" w:ascii="宋体" w:hAnsi="宋体" w:cs="宋体"/>
          <w:kern w:val="0"/>
          <w:szCs w:val="21"/>
          <w:highlight w:val="none"/>
        </w:rPr>
        <w:t>以及</w:t>
      </w:r>
      <w:r>
        <w:rPr>
          <w:rFonts w:ascii="宋体" w:hAnsi="宋体" w:cs="宋体"/>
          <w:kern w:val="0"/>
          <w:szCs w:val="21"/>
          <w:highlight w:val="none"/>
        </w:rPr>
        <w:t>重新上电后</w:t>
      </w:r>
      <w:r>
        <w:rPr>
          <w:rFonts w:hint="eastAsia" w:ascii="宋体" w:hAnsi="宋体" w:cs="宋体"/>
          <w:kern w:val="0"/>
          <w:szCs w:val="21"/>
          <w:highlight w:val="none"/>
        </w:rPr>
        <w:t>参数</w:t>
      </w:r>
      <w:r>
        <w:rPr>
          <w:rFonts w:ascii="宋体" w:hAnsi="宋体" w:cs="宋体"/>
          <w:kern w:val="0"/>
          <w:szCs w:val="21"/>
          <w:highlight w:val="none"/>
        </w:rPr>
        <w:t>设定值</w:t>
      </w:r>
      <w:r>
        <w:rPr>
          <w:rFonts w:hint="eastAsia" w:ascii="宋体" w:hAnsi="宋体" w:cs="宋体"/>
          <w:kern w:val="0"/>
          <w:szCs w:val="21"/>
          <w:highlight w:val="none"/>
        </w:rPr>
        <w:t>的</w:t>
      </w:r>
      <w:r>
        <w:rPr>
          <w:rFonts w:ascii="宋体" w:hAnsi="宋体" w:cs="宋体"/>
          <w:kern w:val="0"/>
          <w:szCs w:val="21"/>
          <w:highlight w:val="none"/>
        </w:rPr>
        <w:t>自动恢复</w:t>
      </w:r>
      <w:r>
        <w:rPr>
          <w:rFonts w:hint="eastAsia" w:ascii="宋体" w:hAnsi="宋体" w:cs="宋体"/>
          <w:kern w:val="0"/>
          <w:szCs w:val="21"/>
          <w:highlight w:val="none"/>
        </w:rPr>
        <w:t>情况。</w:t>
      </w:r>
    </w:p>
    <w:p w14:paraId="64232C57">
      <w:pPr>
        <w:numPr>
          <w:ilvl w:val="5"/>
          <w:numId w:val="18"/>
        </w:numPr>
        <w:outlineLvl w:val="4"/>
        <w:rPr>
          <w:rFonts w:hint="eastAsia" w:ascii="宋体" w:hAnsi="宋体" w:cs="宋体"/>
          <w:kern w:val="0"/>
          <w:szCs w:val="21"/>
          <w:highlight w:val="none"/>
        </w:rPr>
      </w:pPr>
      <w:r>
        <w:rPr>
          <w:rFonts w:ascii="宋体" w:hAnsi="宋体" w:cs="宋体"/>
          <w:kern w:val="0"/>
          <w:szCs w:val="21"/>
          <w:highlight w:val="none"/>
        </w:rPr>
        <w:t>使用总线分析仪或协议测试软件，分别检测PLC内部总线、现场总线及上位机通信接口的通信协议类型与报文格式，确认与Modbus、Profinet、EtherNet/IP等协议的适配情况</w:t>
      </w:r>
      <w:r>
        <w:rPr>
          <w:rFonts w:hint="eastAsia" w:ascii="宋体" w:hAnsi="宋体" w:cs="宋体"/>
          <w:kern w:val="0"/>
          <w:szCs w:val="21"/>
          <w:highlight w:val="none"/>
        </w:rPr>
        <w:t>，并</w:t>
      </w:r>
      <w:r>
        <w:rPr>
          <w:rFonts w:ascii="宋体" w:hAnsi="宋体" w:cs="宋体"/>
          <w:kern w:val="0"/>
          <w:szCs w:val="21"/>
          <w:highlight w:val="none"/>
        </w:rPr>
        <w:t>模拟通信线缆断开与恢复，记录系统重连耗时与数据</w:t>
      </w:r>
      <w:r>
        <w:rPr>
          <w:rFonts w:hint="eastAsia" w:ascii="宋体" w:hAnsi="宋体" w:cs="宋体"/>
          <w:kern w:val="0"/>
          <w:szCs w:val="21"/>
          <w:highlight w:val="none"/>
        </w:rPr>
        <w:t>续传情况</w:t>
      </w:r>
      <w:r>
        <w:rPr>
          <w:rFonts w:ascii="宋体" w:hAnsi="宋体" w:cs="宋体"/>
          <w:kern w:val="0"/>
          <w:szCs w:val="21"/>
          <w:highlight w:val="none"/>
        </w:rPr>
        <w:t>。</w:t>
      </w:r>
    </w:p>
    <w:p w14:paraId="3468ECC8">
      <w:pPr>
        <w:widowControl/>
        <w:numPr>
          <w:ilvl w:val="4"/>
          <w:numId w:val="18"/>
        </w:numPr>
        <w:spacing w:before="156" w:beforeLines="50" w:after="156" w:afterLines="50"/>
        <w:outlineLvl w:val="3"/>
        <w:rPr>
          <w:rFonts w:ascii="黑体" w:eastAsia="黑体"/>
          <w:kern w:val="0"/>
          <w:szCs w:val="21"/>
          <w:highlight w:val="none"/>
        </w:rPr>
      </w:pPr>
      <w:r>
        <w:rPr>
          <w:rFonts w:ascii="黑体" w:eastAsia="黑体"/>
          <w:kern w:val="0"/>
          <w:szCs w:val="21"/>
          <w:highlight w:val="none"/>
        </w:rPr>
        <w:t>网络数字化控制系统</w:t>
      </w:r>
      <w:r>
        <w:rPr>
          <w:rFonts w:hint="eastAsia" w:ascii="黑体" w:eastAsia="黑体"/>
          <w:kern w:val="0"/>
          <w:szCs w:val="21"/>
          <w:highlight w:val="none"/>
        </w:rPr>
        <w:t>要求检查</w:t>
      </w:r>
    </w:p>
    <w:p w14:paraId="38509311">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检查上粉机</w:t>
      </w:r>
      <w:r>
        <w:rPr>
          <w:rFonts w:hint="eastAsia" w:ascii="宋体" w:hAnsi="宋体" w:cs="宋体"/>
          <w:color w:val="000000"/>
          <w:kern w:val="0"/>
          <w:szCs w:val="20"/>
          <w:highlight w:val="none"/>
        </w:rPr>
        <w:t>与上位机</w:t>
      </w:r>
      <w:r>
        <w:rPr>
          <w:rFonts w:hint="eastAsia" w:ascii="宋体" w:hAnsi="宋体" w:cs="宋体"/>
          <w:kern w:val="0"/>
          <w:szCs w:val="21"/>
          <w:highlight w:val="none"/>
        </w:rPr>
        <w:t>通信模块的型式检验报告及安全认证文件，并在实验室网络环境下接入</w:t>
      </w:r>
      <w:r>
        <w:rPr>
          <w:rFonts w:ascii="宋体" w:hAnsi="宋体" w:cs="宋体"/>
          <w:kern w:val="0"/>
          <w:szCs w:val="21"/>
          <w:highlight w:val="none"/>
        </w:rPr>
        <w:t>MES</w:t>
      </w:r>
      <w:r>
        <w:rPr>
          <w:rFonts w:hint="eastAsia" w:ascii="宋体" w:hAnsi="宋体" w:cs="宋体"/>
          <w:kern w:val="0"/>
          <w:szCs w:val="21"/>
          <w:highlight w:val="none"/>
        </w:rPr>
        <w:t>模拟系统，测试上粉机身份认证、访问控制及通信加密等安全机制是否生效。</w:t>
      </w:r>
    </w:p>
    <w:p w14:paraId="0626C7EC">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目测检查</w:t>
      </w:r>
      <w:r>
        <w:rPr>
          <w:rFonts w:ascii="宋体" w:hAnsi="宋体" w:cs="宋体"/>
          <w:kern w:val="0"/>
          <w:szCs w:val="21"/>
          <w:highlight w:val="none"/>
        </w:rPr>
        <w:t>RJ45</w:t>
      </w:r>
      <w:r>
        <w:rPr>
          <w:rFonts w:hint="eastAsia" w:ascii="宋体" w:hAnsi="宋体" w:cs="宋体"/>
          <w:kern w:val="0"/>
          <w:szCs w:val="21"/>
          <w:highlight w:val="none"/>
        </w:rPr>
        <w:t>标准的</w:t>
      </w:r>
      <w:r>
        <w:rPr>
          <w:rFonts w:ascii="宋体" w:hAnsi="宋体" w:cs="宋体"/>
          <w:kern w:val="0"/>
          <w:szCs w:val="21"/>
          <w:highlight w:val="none"/>
        </w:rPr>
        <w:t>工业以太网接口</w:t>
      </w:r>
      <w:r>
        <w:rPr>
          <w:rFonts w:hint="eastAsia" w:ascii="宋体" w:hAnsi="宋体" w:cs="宋体"/>
          <w:kern w:val="0"/>
          <w:szCs w:val="21"/>
          <w:highlight w:val="none"/>
        </w:rPr>
        <w:t>数量。</w:t>
      </w:r>
    </w:p>
    <w:p w14:paraId="18D06CEC">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检查</w:t>
      </w:r>
      <w:r>
        <w:rPr>
          <w:rFonts w:ascii="宋体" w:hAnsi="宋体" w:cs="宋体"/>
          <w:kern w:val="0"/>
          <w:szCs w:val="21"/>
          <w:highlight w:val="none"/>
        </w:rPr>
        <w:t>设备控制网络与办公网络之间是否配置独立</w:t>
      </w:r>
      <w:r>
        <w:rPr>
          <w:rFonts w:hint="eastAsia" w:ascii="宋体" w:hAnsi="宋体" w:cs="宋体"/>
          <w:kern w:val="0"/>
          <w:szCs w:val="21"/>
          <w:highlight w:val="none"/>
        </w:rPr>
        <w:t>的</w:t>
      </w:r>
      <w:r>
        <w:rPr>
          <w:rFonts w:ascii="宋体" w:hAnsi="宋体" w:cs="宋体"/>
          <w:kern w:val="0"/>
          <w:szCs w:val="21"/>
          <w:highlight w:val="none"/>
        </w:rPr>
        <w:t>工业交换机或网络隔离模块</w:t>
      </w:r>
      <w:r>
        <w:rPr>
          <w:rFonts w:hint="eastAsia" w:ascii="宋体" w:hAnsi="宋体" w:cs="宋体"/>
          <w:kern w:val="0"/>
          <w:szCs w:val="21"/>
          <w:highlight w:val="none"/>
        </w:rPr>
        <w:t>，并</w:t>
      </w:r>
      <w:r>
        <w:rPr>
          <w:rFonts w:ascii="宋体" w:hAnsi="宋体" w:cs="宋体"/>
          <w:kern w:val="0"/>
          <w:szCs w:val="21"/>
          <w:highlight w:val="none"/>
        </w:rPr>
        <w:t>使用网络扫描工具分别在控制网络和办公网络</w:t>
      </w:r>
      <w:r>
        <w:rPr>
          <w:rFonts w:hint="eastAsia" w:ascii="宋体" w:hAnsi="宋体" w:cs="宋体"/>
          <w:kern w:val="0"/>
          <w:szCs w:val="21"/>
          <w:highlight w:val="none"/>
        </w:rPr>
        <w:t>间</w:t>
      </w:r>
      <w:r>
        <w:rPr>
          <w:rFonts w:ascii="宋体" w:hAnsi="宋体" w:cs="宋体"/>
          <w:kern w:val="0"/>
          <w:szCs w:val="21"/>
          <w:highlight w:val="none"/>
        </w:rPr>
        <w:t>进行互访测试，验证物理隔离或防火墙隔离是否生效。</w:t>
      </w:r>
    </w:p>
    <w:p w14:paraId="0EEF5874">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目测检查</w:t>
      </w:r>
      <w:r>
        <w:rPr>
          <w:rFonts w:ascii="宋体" w:hAnsi="宋体" w:cs="宋体"/>
          <w:kern w:val="0"/>
          <w:szCs w:val="21"/>
          <w:highlight w:val="none"/>
        </w:rPr>
        <w:t>本地</w:t>
      </w:r>
      <w:r>
        <w:rPr>
          <w:rFonts w:hint="eastAsia" w:ascii="宋体" w:hAnsi="宋体" w:cs="宋体"/>
          <w:kern w:val="0"/>
          <w:szCs w:val="21"/>
          <w:highlight w:val="none"/>
        </w:rPr>
        <w:t>的数据</w:t>
      </w:r>
      <w:r>
        <w:rPr>
          <w:rFonts w:ascii="宋体" w:hAnsi="宋体" w:cs="宋体"/>
          <w:kern w:val="0"/>
          <w:szCs w:val="21"/>
          <w:highlight w:val="none"/>
        </w:rPr>
        <w:t>缓存能力</w:t>
      </w:r>
      <w:r>
        <w:rPr>
          <w:rFonts w:hint="eastAsia" w:ascii="宋体" w:hAnsi="宋体" w:cs="宋体"/>
          <w:kern w:val="0"/>
          <w:szCs w:val="21"/>
          <w:highlight w:val="none"/>
        </w:rPr>
        <w:t>和</w:t>
      </w:r>
      <w:r>
        <w:rPr>
          <w:rFonts w:ascii="宋体" w:hAnsi="宋体" w:cs="宋体"/>
          <w:kern w:val="0"/>
          <w:szCs w:val="21"/>
          <w:highlight w:val="none"/>
        </w:rPr>
        <w:t>网络恢复后</w:t>
      </w:r>
      <w:r>
        <w:rPr>
          <w:rFonts w:hint="eastAsia" w:ascii="宋体" w:hAnsi="宋体" w:cs="宋体"/>
          <w:kern w:val="0"/>
          <w:szCs w:val="21"/>
          <w:highlight w:val="none"/>
        </w:rPr>
        <w:t>数据</w:t>
      </w:r>
      <w:r>
        <w:rPr>
          <w:rFonts w:ascii="宋体" w:hAnsi="宋体" w:cs="宋体"/>
          <w:kern w:val="0"/>
          <w:szCs w:val="21"/>
          <w:highlight w:val="none"/>
        </w:rPr>
        <w:t>自动补传</w:t>
      </w:r>
      <w:r>
        <w:rPr>
          <w:rFonts w:hint="eastAsia" w:ascii="宋体" w:hAnsi="宋体" w:cs="宋体"/>
          <w:kern w:val="0"/>
          <w:szCs w:val="21"/>
          <w:highlight w:val="none"/>
        </w:rPr>
        <w:t>情况。</w:t>
      </w:r>
    </w:p>
    <w:p w14:paraId="0F210EE5">
      <w:pPr>
        <w:numPr>
          <w:ilvl w:val="5"/>
          <w:numId w:val="18"/>
        </w:numPr>
        <w:outlineLvl w:val="4"/>
        <w:rPr>
          <w:rFonts w:hint="eastAsia" w:ascii="宋体" w:hAnsi="宋体" w:cs="宋体"/>
          <w:kern w:val="0"/>
          <w:szCs w:val="21"/>
          <w:highlight w:val="none"/>
        </w:rPr>
      </w:pPr>
      <w:r>
        <w:rPr>
          <w:rFonts w:hint="eastAsia" w:ascii="宋体" w:hAnsi="宋体" w:cs="宋体"/>
          <w:kern w:val="0"/>
          <w:szCs w:val="21"/>
          <w:highlight w:val="none"/>
        </w:rPr>
        <w:t>上粉机正常工作时，</w:t>
      </w:r>
      <w:r>
        <w:rPr>
          <w:rFonts w:hint="eastAsia" w:ascii="宋体" w:hAnsi="宋体"/>
          <w:kern w:val="0"/>
          <w:highlight w:val="none"/>
        </w:rPr>
        <w:t>目测检查数据向MES实时上传情况和上粉机响应MES下发指令的时间，并使用</w:t>
      </w:r>
      <w:r>
        <w:rPr>
          <w:rFonts w:ascii="宋体" w:hAnsi="宋体"/>
          <w:kern w:val="0"/>
          <w:highlight w:val="none"/>
        </w:rPr>
        <w:t>iperf3工具检查数据的采样周期时间</w:t>
      </w:r>
      <w:r>
        <w:rPr>
          <w:rFonts w:hint="eastAsia" w:ascii="宋体" w:hAnsi="宋体" w:cs="宋体"/>
          <w:kern w:val="0"/>
          <w:szCs w:val="21"/>
          <w:highlight w:val="none"/>
        </w:rPr>
        <w:t>。</w:t>
      </w:r>
    </w:p>
    <w:p w14:paraId="024515E0">
      <w:pPr>
        <w:widowControl/>
        <w:numPr>
          <w:ilvl w:val="2"/>
          <w:numId w:val="18"/>
        </w:numPr>
        <w:spacing w:before="156" w:beforeLines="50" w:after="156" w:afterLines="50"/>
        <w:outlineLvl w:val="1"/>
        <w:rPr>
          <w:rFonts w:ascii="黑体" w:eastAsia="黑体"/>
          <w:kern w:val="0"/>
          <w:szCs w:val="21"/>
          <w:highlight w:val="none"/>
        </w:rPr>
      </w:pPr>
      <w:bookmarkStart w:id="416" w:name="_Toc196238821"/>
      <w:bookmarkStart w:id="417" w:name="_Toc25748"/>
      <w:r>
        <w:rPr>
          <w:rFonts w:hint="eastAsia" w:ascii="黑体" w:eastAsia="黑体"/>
          <w:kern w:val="0"/>
          <w:szCs w:val="21"/>
          <w:highlight w:val="none"/>
        </w:rPr>
        <w:t>卫生安全</w:t>
      </w:r>
      <w:r>
        <w:rPr>
          <w:rFonts w:hint="eastAsia" w:eastAsia="黑体"/>
          <w:kern w:val="0"/>
          <w:szCs w:val="21"/>
          <w:highlight w:val="none"/>
        </w:rPr>
        <w:t>要求</w:t>
      </w:r>
      <w:r>
        <w:rPr>
          <w:rFonts w:hint="eastAsia" w:ascii="黑体" w:eastAsia="黑体"/>
          <w:kern w:val="0"/>
          <w:szCs w:val="21"/>
          <w:highlight w:val="none"/>
        </w:rPr>
        <w:t>检查</w:t>
      </w:r>
      <w:bookmarkEnd w:id="416"/>
      <w:bookmarkEnd w:id="417"/>
    </w:p>
    <w:p w14:paraId="2F64EC12">
      <w:pPr>
        <w:numPr>
          <w:ilvl w:val="3"/>
          <w:numId w:val="18"/>
        </w:numPr>
        <w:outlineLvl w:val="2"/>
        <w:rPr>
          <w:rFonts w:hint="eastAsia" w:ascii="宋体" w:hAnsi="宋体" w:cs="宋体"/>
          <w:kern w:val="0"/>
          <w:szCs w:val="21"/>
          <w:highlight w:val="none"/>
        </w:rPr>
      </w:pPr>
      <w:bookmarkStart w:id="418" w:name="_Toc234307634"/>
      <w:bookmarkStart w:id="419" w:name="_Toc20573"/>
      <w:bookmarkStart w:id="420" w:name="_Toc27916"/>
      <w:r>
        <w:rPr>
          <w:rFonts w:ascii="宋体" w:hAnsi="宋体" w:cs="宋体"/>
          <w:kern w:val="0"/>
          <w:szCs w:val="21"/>
          <w:highlight w:val="none"/>
        </w:rPr>
        <w:t>按GB 16798的规定目测或选择相应精度的检验工具、量具检查</w:t>
      </w:r>
      <w:r>
        <w:rPr>
          <w:rFonts w:hint="eastAsia" w:ascii="宋体" w:hAnsi="宋体" w:cs="宋体"/>
          <w:kern w:val="0"/>
          <w:szCs w:val="21"/>
          <w:highlight w:val="none"/>
        </w:rPr>
        <w:t>上粉机</w:t>
      </w:r>
      <w:r>
        <w:rPr>
          <w:rFonts w:ascii="宋体" w:hAnsi="宋体" w:cs="宋体"/>
          <w:kern w:val="0"/>
          <w:szCs w:val="21"/>
          <w:highlight w:val="none"/>
        </w:rPr>
        <w:t>的结构卫生及可洗净性。</w:t>
      </w:r>
      <w:bookmarkEnd w:id="418"/>
      <w:bookmarkEnd w:id="419"/>
      <w:bookmarkEnd w:id="420"/>
    </w:p>
    <w:p w14:paraId="4DC14323">
      <w:pPr>
        <w:numPr>
          <w:ilvl w:val="3"/>
          <w:numId w:val="18"/>
        </w:numPr>
        <w:outlineLvl w:val="2"/>
        <w:rPr>
          <w:rFonts w:hint="eastAsia" w:ascii="宋体" w:hAnsi="宋体" w:cs="宋体"/>
          <w:kern w:val="0"/>
          <w:szCs w:val="21"/>
          <w:highlight w:val="none"/>
        </w:rPr>
      </w:pPr>
      <w:bookmarkStart w:id="421" w:name="_Toc26784"/>
      <w:bookmarkStart w:id="422" w:name="_Toc234307635"/>
      <w:bookmarkStart w:id="423" w:name="_Toc10700"/>
      <w:r>
        <w:rPr>
          <w:rFonts w:hint="eastAsia" w:ascii="宋体" w:hAnsi="宋体" w:cs="宋体"/>
          <w:kern w:val="0"/>
          <w:szCs w:val="21"/>
          <w:highlight w:val="none"/>
        </w:rPr>
        <w:t>上粉机</w:t>
      </w:r>
      <w:r>
        <w:rPr>
          <w:rFonts w:ascii="宋体" w:hAnsi="宋体" w:cs="宋体"/>
          <w:kern w:val="0"/>
          <w:szCs w:val="21"/>
          <w:highlight w:val="none"/>
        </w:rPr>
        <w:t>在额定工况下连续运行不少于30 min后，用洁净白布或滤纸对润滑部位的密封结合面、接口等可能渗（漏）油的部位进行擦拭检查</w:t>
      </w:r>
      <w:r>
        <w:rPr>
          <w:rFonts w:hint="eastAsia" w:ascii="宋体" w:hAnsi="宋体" w:cs="宋体"/>
          <w:kern w:val="0"/>
          <w:szCs w:val="21"/>
          <w:highlight w:val="none"/>
        </w:rPr>
        <w:t>。</w:t>
      </w:r>
      <w:bookmarkEnd w:id="421"/>
      <w:bookmarkEnd w:id="422"/>
      <w:bookmarkEnd w:id="423"/>
    </w:p>
    <w:p w14:paraId="0A3962F8">
      <w:pPr>
        <w:numPr>
          <w:ilvl w:val="3"/>
          <w:numId w:val="18"/>
        </w:numPr>
        <w:outlineLvl w:val="2"/>
        <w:rPr>
          <w:rFonts w:hint="eastAsia" w:ascii="宋体" w:hAnsi="宋体" w:cs="宋体"/>
          <w:kern w:val="0"/>
          <w:szCs w:val="21"/>
          <w:highlight w:val="none"/>
        </w:rPr>
      </w:pPr>
      <w:bookmarkStart w:id="424" w:name="_Toc234307636"/>
      <w:bookmarkStart w:id="425" w:name="_Toc14869"/>
      <w:bookmarkStart w:id="426" w:name="_Toc21063"/>
      <w:r>
        <w:rPr>
          <w:rFonts w:hint="eastAsia" w:ascii="宋体" w:hAnsi="宋体" w:cs="宋体"/>
          <w:kern w:val="0"/>
          <w:szCs w:val="21"/>
          <w:highlight w:val="none"/>
        </w:rPr>
        <w:t>目测或触摸检查上粉机表面结构和</w:t>
      </w:r>
      <w:r>
        <w:rPr>
          <w:rFonts w:ascii="宋体" w:hAnsi="宋体" w:cs="宋体"/>
          <w:kern w:val="0"/>
          <w:szCs w:val="21"/>
          <w:highlight w:val="none"/>
        </w:rPr>
        <w:t>不可拆卸零部件</w:t>
      </w:r>
      <w:r>
        <w:rPr>
          <w:rFonts w:hint="eastAsia" w:ascii="宋体" w:hAnsi="宋体" w:cs="宋体"/>
          <w:kern w:val="0"/>
          <w:szCs w:val="21"/>
          <w:highlight w:val="none"/>
        </w:rPr>
        <w:t>。</w:t>
      </w:r>
      <w:bookmarkEnd w:id="424"/>
      <w:bookmarkEnd w:id="425"/>
      <w:bookmarkEnd w:id="426"/>
    </w:p>
    <w:p w14:paraId="569681FC">
      <w:pPr>
        <w:numPr>
          <w:ilvl w:val="3"/>
          <w:numId w:val="18"/>
        </w:numPr>
        <w:outlineLvl w:val="2"/>
        <w:rPr>
          <w:highlight w:val="none"/>
        </w:rPr>
      </w:pPr>
      <w:bookmarkStart w:id="427" w:name="_Toc29880"/>
      <w:bookmarkStart w:id="428" w:name="_Toc6353"/>
      <w:bookmarkStart w:id="429" w:name="_Toc6376"/>
      <w:bookmarkStart w:id="430" w:name="_Toc22801"/>
      <w:bookmarkStart w:id="431" w:name="_Toc233823924"/>
      <w:r>
        <w:rPr>
          <w:rFonts w:hint="eastAsia" w:ascii="宋体" w:hAnsi="宋体" w:cs="宋体"/>
          <w:kern w:val="0"/>
          <w:szCs w:val="21"/>
          <w:highlight w:val="none"/>
        </w:rPr>
        <w:t>目测或触摸检查上粉机</w:t>
      </w:r>
      <w:r>
        <w:rPr>
          <w:rFonts w:hint="eastAsia" w:ascii="宋体" w:hAnsi="宋体" w:cs="宋体"/>
          <w:color w:val="000000"/>
          <w:kern w:val="0"/>
          <w:szCs w:val="21"/>
          <w:highlight w:val="none"/>
        </w:rPr>
        <w:t>食品区域与外界隔离的防护措施以及外部零部件伸入食品区域处的密封装置</w:t>
      </w:r>
      <w:r>
        <w:rPr>
          <w:rFonts w:hint="eastAsia" w:ascii="宋体" w:hAnsi="宋体" w:cs="宋体"/>
          <w:kern w:val="0"/>
          <w:szCs w:val="21"/>
          <w:highlight w:val="none"/>
        </w:rPr>
        <w:t>。</w:t>
      </w:r>
      <w:bookmarkEnd w:id="427"/>
      <w:bookmarkEnd w:id="428"/>
      <w:bookmarkEnd w:id="429"/>
      <w:bookmarkEnd w:id="430"/>
      <w:bookmarkEnd w:id="431"/>
    </w:p>
    <w:p w14:paraId="67057BBC">
      <w:pPr>
        <w:widowControl/>
        <w:numPr>
          <w:ilvl w:val="2"/>
          <w:numId w:val="18"/>
        </w:numPr>
        <w:spacing w:before="156" w:beforeLines="50" w:after="156" w:afterLines="50"/>
        <w:outlineLvl w:val="1"/>
        <w:rPr>
          <w:rFonts w:ascii="黑体" w:eastAsia="黑体"/>
          <w:kern w:val="0"/>
          <w:szCs w:val="21"/>
          <w:highlight w:val="none"/>
        </w:rPr>
      </w:pPr>
      <w:bookmarkStart w:id="432" w:name="_Toc11955"/>
      <w:bookmarkStart w:id="433" w:name="_Toc196238831"/>
      <w:r>
        <w:rPr>
          <w:rFonts w:hint="eastAsia" w:ascii="黑体" w:eastAsia="黑体"/>
          <w:kern w:val="0"/>
          <w:szCs w:val="21"/>
          <w:highlight w:val="none"/>
        </w:rPr>
        <w:t>机械安全</w:t>
      </w:r>
      <w:r>
        <w:rPr>
          <w:rFonts w:hint="eastAsia" w:eastAsia="黑体"/>
          <w:kern w:val="0"/>
          <w:szCs w:val="21"/>
          <w:highlight w:val="none"/>
        </w:rPr>
        <w:t>要求</w:t>
      </w:r>
      <w:r>
        <w:rPr>
          <w:rFonts w:hint="eastAsia" w:ascii="黑体" w:eastAsia="黑体"/>
          <w:kern w:val="0"/>
          <w:szCs w:val="21"/>
          <w:highlight w:val="none"/>
        </w:rPr>
        <w:t>检查</w:t>
      </w:r>
      <w:bookmarkEnd w:id="432"/>
      <w:bookmarkEnd w:id="433"/>
    </w:p>
    <w:p w14:paraId="5868B74F">
      <w:pPr>
        <w:numPr>
          <w:ilvl w:val="3"/>
          <w:numId w:val="18"/>
        </w:numPr>
        <w:outlineLvl w:val="2"/>
        <w:rPr>
          <w:rFonts w:hint="eastAsia" w:ascii="宋体" w:hAnsi="宋体" w:cs="宋体"/>
          <w:kern w:val="0"/>
          <w:szCs w:val="21"/>
          <w:highlight w:val="none"/>
        </w:rPr>
      </w:pPr>
      <w:bookmarkStart w:id="434" w:name="_Toc28606"/>
      <w:bookmarkStart w:id="435" w:name="_Toc234307638"/>
      <w:bookmarkStart w:id="436" w:name="_Toc8245"/>
      <w:r>
        <w:rPr>
          <w:rFonts w:ascii="宋体" w:hAnsi="宋体" w:cs="宋体"/>
          <w:kern w:val="0"/>
          <w:szCs w:val="21"/>
          <w:highlight w:val="none"/>
        </w:rPr>
        <w:t>目测检查</w:t>
      </w:r>
      <w:r>
        <w:rPr>
          <w:rFonts w:hint="eastAsia" w:ascii="宋体" w:hAnsi="宋体" w:cs="宋体"/>
          <w:kern w:val="0"/>
          <w:szCs w:val="21"/>
          <w:highlight w:val="none"/>
        </w:rPr>
        <w:t>上粉机</w:t>
      </w:r>
      <w:r>
        <w:rPr>
          <w:rFonts w:ascii="宋体" w:hAnsi="宋体" w:cs="宋体"/>
          <w:kern w:val="0"/>
          <w:szCs w:val="21"/>
          <w:highlight w:val="none"/>
        </w:rPr>
        <w:t>可能对人身或设备造成损伤的部位相应的安全措施，按GB/T 8196的规定检查</w:t>
      </w:r>
      <w:r>
        <w:rPr>
          <w:rFonts w:hint="eastAsia" w:ascii="宋体" w:hAnsi="宋体" w:cs="宋体"/>
          <w:kern w:val="0"/>
          <w:szCs w:val="21"/>
          <w:highlight w:val="none"/>
        </w:rPr>
        <w:t>上粉机</w:t>
      </w:r>
      <w:r>
        <w:rPr>
          <w:rFonts w:ascii="宋体" w:hAnsi="宋体" w:cs="宋体"/>
          <w:kern w:val="0"/>
          <w:szCs w:val="21"/>
          <w:highlight w:val="none"/>
        </w:rPr>
        <w:t>的安全防护装置</w:t>
      </w:r>
      <w:r>
        <w:rPr>
          <w:rFonts w:hint="eastAsia" w:ascii="宋体" w:hAnsi="宋体" w:cs="宋体"/>
          <w:kern w:val="0"/>
          <w:szCs w:val="21"/>
          <w:highlight w:val="none"/>
        </w:rPr>
        <w:t>。</w:t>
      </w:r>
      <w:bookmarkEnd w:id="434"/>
      <w:bookmarkEnd w:id="435"/>
      <w:bookmarkEnd w:id="436"/>
    </w:p>
    <w:p w14:paraId="444D2DA3">
      <w:pPr>
        <w:numPr>
          <w:ilvl w:val="3"/>
          <w:numId w:val="18"/>
        </w:numPr>
        <w:outlineLvl w:val="2"/>
        <w:rPr>
          <w:rFonts w:hint="eastAsia" w:ascii="宋体" w:hAnsi="宋体" w:cs="宋体"/>
          <w:kern w:val="0"/>
          <w:szCs w:val="21"/>
          <w:highlight w:val="none"/>
        </w:rPr>
      </w:pPr>
      <w:bookmarkStart w:id="437" w:name="_Toc234307639"/>
      <w:bookmarkStart w:id="438" w:name="_Toc9974"/>
      <w:bookmarkStart w:id="439" w:name="_Toc21413"/>
      <w:r>
        <w:rPr>
          <w:rFonts w:ascii="宋体" w:hAnsi="宋体" w:cs="宋体"/>
          <w:kern w:val="0"/>
          <w:szCs w:val="21"/>
          <w:highlight w:val="none"/>
        </w:rPr>
        <w:t>目测或触摸检查</w:t>
      </w:r>
      <w:r>
        <w:rPr>
          <w:rFonts w:hint="eastAsia" w:ascii="宋体" w:hAnsi="宋体" w:cs="宋体"/>
          <w:kern w:val="0"/>
          <w:szCs w:val="21"/>
          <w:highlight w:val="none"/>
        </w:rPr>
        <w:t>上粉机</w:t>
      </w:r>
      <w:r>
        <w:rPr>
          <w:rFonts w:ascii="宋体" w:hAnsi="宋体" w:cs="宋体"/>
          <w:kern w:val="0"/>
          <w:szCs w:val="21"/>
          <w:highlight w:val="none"/>
        </w:rPr>
        <w:t>外表面质量</w:t>
      </w:r>
      <w:r>
        <w:rPr>
          <w:rFonts w:hint="eastAsia" w:ascii="宋体" w:hAnsi="宋体" w:cs="宋体"/>
          <w:kern w:val="0"/>
          <w:szCs w:val="21"/>
          <w:highlight w:val="none"/>
        </w:rPr>
        <w:t>。</w:t>
      </w:r>
      <w:bookmarkEnd w:id="437"/>
      <w:bookmarkEnd w:id="438"/>
      <w:bookmarkEnd w:id="439"/>
    </w:p>
    <w:p w14:paraId="5FDC9B2F">
      <w:pPr>
        <w:numPr>
          <w:ilvl w:val="3"/>
          <w:numId w:val="18"/>
        </w:numPr>
        <w:outlineLvl w:val="2"/>
        <w:rPr>
          <w:rFonts w:hint="eastAsia" w:ascii="宋体" w:hAnsi="宋体" w:cs="宋体"/>
          <w:kern w:val="0"/>
          <w:szCs w:val="21"/>
          <w:highlight w:val="none"/>
        </w:rPr>
      </w:pPr>
      <w:bookmarkStart w:id="440" w:name="_Toc4532"/>
      <w:bookmarkStart w:id="441" w:name="_Toc32646"/>
      <w:bookmarkStart w:id="442" w:name="_Toc234307640"/>
      <w:r>
        <w:rPr>
          <w:rFonts w:ascii="宋体" w:hAnsi="宋体" w:cs="宋体"/>
          <w:kern w:val="0"/>
          <w:szCs w:val="21"/>
          <w:highlight w:val="none"/>
        </w:rPr>
        <w:t>按GB 2894的规定检查</w:t>
      </w:r>
      <w:r>
        <w:rPr>
          <w:rFonts w:hint="eastAsia" w:ascii="宋体" w:hAnsi="宋体" w:cs="宋体"/>
          <w:kern w:val="0"/>
          <w:szCs w:val="21"/>
          <w:highlight w:val="none"/>
        </w:rPr>
        <w:t>上粉机</w:t>
      </w:r>
      <w:r>
        <w:rPr>
          <w:rFonts w:ascii="宋体" w:hAnsi="宋体" w:cs="宋体"/>
          <w:kern w:val="0"/>
          <w:szCs w:val="21"/>
          <w:highlight w:val="none"/>
        </w:rPr>
        <w:t>的安全警示标志</w:t>
      </w:r>
      <w:r>
        <w:rPr>
          <w:rFonts w:hint="eastAsia" w:ascii="宋体" w:hAnsi="宋体" w:cs="宋体"/>
          <w:kern w:val="0"/>
          <w:szCs w:val="21"/>
          <w:highlight w:val="none"/>
        </w:rPr>
        <w:t>。</w:t>
      </w:r>
      <w:bookmarkEnd w:id="440"/>
      <w:bookmarkEnd w:id="441"/>
      <w:bookmarkEnd w:id="442"/>
    </w:p>
    <w:p w14:paraId="2D3A332A">
      <w:pPr>
        <w:numPr>
          <w:ilvl w:val="3"/>
          <w:numId w:val="18"/>
        </w:numPr>
        <w:outlineLvl w:val="2"/>
        <w:rPr>
          <w:rFonts w:hint="eastAsia" w:ascii="宋体" w:hAnsi="宋体" w:cs="宋体"/>
          <w:kern w:val="0"/>
          <w:szCs w:val="21"/>
          <w:highlight w:val="none"/>
        </w:rPr>
      </w:pPr>
      <w:bookmarkStart w:id="443" w:name="_Toc25084"/>
      <w:bookmarkStart w:id="444" w:name="_Toc234307641"/>
      <w:bookmarkStart w:id="445" w:name="_Toc12930"/>
      <w:r>
        <w:rPr>
          <w:rFonts w:ascii="宋体" w:hAnsi="宋体" w:cs="宋体"/>
          <w:kern w:val="0"/>
          <w:szCs w:val="21"/>
          <w:highlight w:val="none"/>
        </w:rPr>
        <w:t>通过功能性测试验证过载保护装置和报警装置的有效性。测试模拟设计动作的条件（如过载、触发报警信号），检查</w:t>
      </w:r>
      <w:r>
        <w:rPr>
          <w:rFonts w:hint="eastAsia" w:ascii="宋体" w:hAnsi="宋体" w:cs="宋体"/>
          <w:kern w:val="0"/>
          <w:szCs w:val="21"/>
          <w:highlight w:val="none"/>
        </w:rPr>
        <w:t>上粉机</w:t>
      </w:r>
      <w:r>
        <w:rPr>
          <w:rFonts w:ascii="宋体" w:hAnsi="宋体" w:cs="宋体"/>
          <w:kern w:val="0"/>
          <w:szCs w:val="21"/>
          <w:highlight w:val="none"/>
        </w:rPr>
        <w:t>是否按设计要求准确动作（如切断动力源、发出报警信号等），并在操作界面或指定位置有明确的状态提示。</w:t>
      </w:r>
      <w:bookmarkEnd w:id="443"/>
      <w:bookmarkEnd w:id="444"/>
      <w:bookmarkEnd w:id="445"/>
    </w:p>
    <w:p w14:paraId="2CC9AAF9">
      <w:pPr>
        <w:numPr>
          <w:ilvl w:val="3"/>
          <w:numId w:val="18"/>
        </w:numPr>
        <w:outlineLvl w:val="2"/>
        <w:rPr>
          <w:rFonts w:hint="eastAsia" w:ascii="宋体" w:hAnsi="宋体" w:cs="宋体"/>
          <w:kern w:val="0"/>
          <w:szCs w:val="21"/>
          <w:highlight w:val="none"/>
        </w:rPr>
      </w:pPr>
      <w:bookmarkStart w:id="446" w:name="_Toc6692"/>
      <w:bookmarkStart w:id="447" w:name="_Toc14989"/>
      <w:bookmarkStart w:id="448" w:name="_Toc234307642"/>
      <w:r>
        <w:rPr>
          <w:rFonts w:ascii="宋体" w:hAnsi="宋体" w:cs="宋体"/>
          <w:kern w:val="0"/>
          <w:szCs w:val="21"/>
          <w:highlight w:val="none"/>
        </w:rPr>
        <w:t>目测</w:t>
      </w:r>
      <w:r>
        <w:rPr>
          <w:rFonts w:hint="eastAsia" w:ascii="宋体" w:hAnsi="宋体" w:cs="宋体"/>
          <w:kern w:val="0"/>
          <w:szCs w:val="21"/>
          <w:highlight w:val="none"/>
        </w:rPr>
        <w:t>或</w:t>
      </w:r>
      <w:r>
        <w:rPr>
          <w:rFonts w:ascii="宋体" w:hAnsi="宋体" w:cs="宋体"/>
          <w:kern w:val="0"/>
          <w:szCs w:val="21"/>
          <w:highlight w:val="none"/>
        </w:rPr>
        <w:t>触摸检查</w:t>
      </w:r>
      <w:r>
        <w:rPr>
          <w:rFonts w:hint="eastAsia" w:ascii="宋体" w:hAnsi="宋体" w:cs="宋体"/>
          <w:kern w:val="0"/>
          <w:szCs w:val="21"/>
          <w:highlight w:val="none"/>
        </w:rPr>
        <w:t>上粉机</w:t>
      </w:r>
      <w:r>
        <w:rPr>
          <w:rFonts w:ascii="宋体" w:hAnsi="宋体" w:cs="宋体"/>
          <w:kern w:val="0"/>
          <w:szCs w:val="21"/>
          <w:highlight w:val="none"/>
        </w:rPr>
        <w:t>零部件的连接及紧固情况</w:t>
      </w:r>
      <w:r>
        <w:rPr>
          <w:rFonts w:hint="eastAsia" w:ascii="宋体" w:hAnsi="宋体" w:cs="宋体"/>
          <w:kern w:val="0"/>
          <w:szCs w:val="21"/>
          <w:highlight w:val="none"/>
        </w:rPr>
        <w:t>。</w:t>
      </w:r>
      <w:bookmarkEnd w:id="446"/>
      <w:bookmarkEnd w:id="447"/>
      <w:bookmarkEnd w:id="448"/>
    </w:p>
    <w:p w14:paraId="4FB0EEB1">
      <w:pPr>
        <w:widowControl/>
        <w:numPr>
          <w:ilvl w:val="2"/>
          <w:numId w:val="18"/>
        </w:numPr>
        <w:spacing w:before="156" w:beforeLines="50" w:after="156" w:afterLines="50"/>
        <w:outlineLvl w:val="1"/>
        <w:rPr>
          <w:rFonts w:ascii="黑体" w:eastAsia="黑体"/>
          <w:kern w:val="0"/>
          <w:szCs w:val="21"/>
          <w:highlight w:val="none"/>
        </w:rPr>
      </w:pPr>
      <w:bookmarkStart w:id="449" w:name="_Toc196241207"/>
      <w:bookmarkEnd w:id="449"/>
      <w:bookmarkStart w:id="450" w:name="_Toc196241210"/>
      <w:bookmarkEnd w:id="450"/>
      <w:bookmarkStart w:id="451" w:name="_Toc196241209"/>
      <w:bookmarkEnd w:id="451"/>
      <w:bookmarkStart w:id="452" w:name="_Toc196241220"/>
      <w:bookmarkEnd w:id="452"/>
      <w:bookmarkStart w:id="453" w:name="_Toc186914365"/>
      <w:bookmarkEnd w:id="453"/>
      <w:bookmarkStart w:id="454" w:name="_Toc196241222"/>
      <w:bookmarkEnd w:id="454"/>
      <w:bookmarkStart w:id="455" w:name="_Toc196241214"/>
      <w:bookmarkEnd w:id="455"/>
      <w:bookmarkStart w:id="456" w:name="_Toc196241208"/>
      <w:bookmarkEnd w:id="456"/>
      <w:bookmarkStart w:id="457" w:name="_Toc196241226"/>
      <w:bookmarkEnd w:id="457"/>
      <w:bookmarkStart w:id="458" w:name="_Toc196241218"/>
      <w:bookmarkEnd w:id="458"/>
      <w:bookmarkStart w:id="459" w:name="_Toc196241204"/>
      <w:bookmarkEnd w:id="459"/>
      <w:bookmarkStart w:id="460" w:name="_Toc196241223"/>
      <w:bookmarkEnd w:id="460"/>
      <w:bookmarkStart w:id="461" w:name="_Toc196241216"/>
      <w:bookmarkEnd w:id="461"/>
      <w:bookmarkStart w:id="462" w:name="_Toc196241212"/>
      <w:bookmarkEnd w:id="462"/>
      <w:bookmarkStart w:id="463" w:name="_Toc196241221"/>
      <w:bookmarkEnd w:id="463"/>
      <w:bookmarkStart w:id="464" w:name="_Toc196241217"/>
      <w:bookmarkEnd w:id="464"/>
      <w:bookmarkStart w:id="465" w:name="_Toc196241215"/>
      <w:bookmarkEnd w:id="465"/>
      <w:bookmarkStart w:id="466" w:name="_Toc196241206"/>
      <w:bookmarkEnd w:id="466"/>
      <w:bookmarkStart w:id="467" w:name="_Toc196241219"/>
      <w:bookmarkEnd w:id="467"/>
      <w:bookmarkStart w:id="468" w:name="_Toc196241205"/>
      <w:bookmarkEnd w:id="468"/>
      <w:bookmarkStart w:id="469" w:name="_Toc196241225"/>
      <w:bookmarkEnd w:id="469"/>
      <w:bookmarkStart w:id="470" w:name="_Toc196241213"/>
      <w:bookmarkEnd w:id="470"/>
      <w:bookmarkStart w:id="471" w:name="_Toc196241224"/>
      <w:bookmarkEnd w:id="471"/>
      <w:bookmarkStart w:id="472" w:name="_Toc196241211"/>
      <w:bookmarkEnd w:id="472"/>
      <w:bookmarkStart w:id="473" w:name="_Toc196238853"/>
      <w:bookmarkStart w:id="474" w:name="_Toc9164"/>
      <w:bookmarkStart w:id="475" w:name="_Hlk190698313"/>
      <w:r>
        <w:rPr>
          <w:rFonts w:hint="eastAsia" w:ascii="黑体" w:eastAsia="黑体"/>
          <w:kern w:val="0"/>
          <w:szCs w:val="21"/>
          <w:highlight w:val="none"/>
        </w:rPr>
        <w:t>电气安全</w:t>
      </w:r>
      <w:bookmarkEnd w:id="473"/>
      <w:r>
        <w:rPr>
          <w:rFonts w:hint="eastAsia" w:eastAsia="黑体"/>
          <w:kern w:val="0"/>
          <w:szCs w:val="21"/>
          <w:highlight w:val="none"/>
        </w:rPr>
        <w:t>要求</w:t>
      </w:r>
      <w:r>
        <w:rPr>
          <w:rFonts w:hint="eastAsia" w:ascii="黑体" w:eastAsia="黑体"/>
          <w:kern w:val="0"/>
          <w:szCs w:val="21"/>
          <w:highlight w:val="none"/>
        </w:rPr>
        <w:t>检查</w:t>
      </w:r>
      <w:bookmarkEnd w:id="474"/>
    </w:p>
    <w:p w14:paraId="51C1ED24">
      <w:pPr>
        <w:pStyle w:val="162"/>
        <w:numPr>
          <w:ilvl w:val="3"/>
          <w:numId w:val="18"/>
        </w:numPr>
        <w:spacing w:beforeLines="0" w:afterLines="0"/>
        <w:outlineLvl w:val="2"/>
        <w:rPr>
          <w:rFonts w:hint="eastAsia" w:ascii="宋体" w:hAnsi="宋体" w:eastAsia="宋体"/>
          <w:szCs w:val="21"/>
          <w:highlight w:val="none"/>
        </w:rPr>
      </w:pPr>
      <w:bookmarkStart w:id="476" w:name="_Toc15150"/>
      <w:bookmarkStart w:id="477" w:name="_Toc25002"/>
      <w:bookmarkStart w:id="478" w:name="_Toc234307645"/>
      <w:r>
        <w:rPr>
          <w:rFonts w:hint="eastAsia" w:ascii="宋体" w:hAnsi="宋体" w:eastAsia="宋体"/>
          <w:highlight w:val="none"/>
        </w:rPr>
        <w:t>按GB/T 5226.1的规定检查上粉机的电气安全。</w:t>
      </w:r>
      <w:bookmarkEnd w:id="476"/>
      <w:bookmarkEnd w:id="477"/>
      <w:bookmarkEnd w:id="478"/>
    </w:p>
    <w:p w14:paraId="17B36D0D">
      <w:pPr>
        <w:pStyle w:val="162"/>
        <w:numPr>
          <w:ilvl w:val="3"/>
          <w:numId w:val="18"/>
        </w:numPr>
        <w:spacing w:beforeLines="0" w:afterLines="0"/>
        <w:outlineLvl w:val="2"/>
        <w:rPr>
          <w:rFonts w:hint="eastAsia" w:ascii="宋体" w:hAnsi="宋体" w:eastAsia="宋体"/>
          <w:highlight w:val="none"/>
        </w:rPr>
      </w:pPr>
      <w:bookmarkStart w:id="479" w:name="_Toc1009"/>
      <w:bookmarkStart w:id="480" w:name="_Toc3847"/>
      <w:bookmarkStart w:id="481" w:name="_Toc234307646"/>
      <w:r>
        <w:rPr>
          <w:rFonts w:hint="eastAsia" w:ascii="宋体" w:hAnsi="宋体" w:eastAsia="宋体"/>
          <w:highlight w:val="none"/>
        </w:rPr>
        <w:t>目测检查上粉机电气线路连接情况及电气控制系统。</w:t>
      </w:r>
      <w:bookmarkEnd w:id="479"/>
      <w:bookmarkEnd w:id="480"/>
      <w:bookmarkEnd w:id="481"/>
    </w:p>
    <w:p w14:paraId="596B3F92">
      <w:pPr>
        <w:pStyle w:val="162"/>
        <w:numPr>
          <w:ilvl w:val="3"/>
          <w:numId w:val="18"/>
        </w:numPr>
        <w:spacing w:beforeLines="0" w:afterLines="0"/>
        <w:outlineLvl w:val="2"/>
        <w:rPr>
          <w:rFonts w:hint="eastAsia" w:ascii="宋体" w:hAnsi="宋体" w:eastAsia="宋体"/>
          <w:highlight w:val="none"/>
        </w:rPr>
      </w:pPr>
      <w:bookmarkStart w:id="482" w:name="_Toc234307647"/>
      <w:bookmarkStart w:id="483" w:name="_Toc28520"/>
      <w:bookmarkStart w:id="484" w:name="_Toc24668"/>
      <w:r>
        <w:rPr>
          <w:rFonts w:hint="eastAsia" w:ascii="宋体" w:hAnsi="宋体" w:eastAsia="宋体"/>
          <w:highlight w:val="none"/>
        </w:rPr>
        <w:t>按SB/T 227的规定检测上粉机的接地电阻。</w:t>
      </w:r>
      <w:bookmarkEnd w:id="482"/>
      <w:bookmarkEnd w:id="483"/>
      <w:bookmarkEnd w:id="484"/>
    </w:p>
    <w:p w14:paraId="0272B88E">
      <w:pPr>
        <w:pStyle w:val="162"/>
        <w:numPr>
          <w:ilvl w:val="3"/>
          <w:numId w:val="18"/>
        </w:numPr>
        <w:spacing w:beforeLines="0" w:afterLines="0"/>
        <w:outlineLvl w:val="2"/>
        <w:rPr>
          <w:rFonts w:hint="eastAsia" w:ascii="宋体" w:hAnsi="宋体" w:eastAsia="宋体"/>
          <w:highlight w:val="none"/>
        </w:rPr>
      </w:pPr>
      <w:bookmarkStart w:id="485" w:name="_Toc234307648"/>
      <w:bookmarkStart w:id="486" w:name="_Toc17483"/>
      <w:bookmarkStart w:id="487" w:name="_Toc12144"/>
      <w:r>
        <w:rPr>
          <w:rFonts w:hint="eastAsia" w:ascii="宋体" w:hAnsi="宋体" w:eastAsia="宋体"/>
          <w:highlight w:val="none"/>
        </w:rPr>
        <w:t>按GB/T 5226.1的规定检测上粉机的绝缘电阻。</w:t>
      </w:r>
      <w:bookmarkEnd w:id="485"/>
      <w:bookmarkEnd w:id="486"/>
      <w:bookmarkEnd w:id="487"/>
    </w:p>
    <w:p w14:paraId="061EE460">
      <w:pPr>
        <w:pStyle w:val="162"/>
        <w:numPr>
          <w:ilvl w:val="3"/>
          <w:numId w:val="18"/>
        </w:numPr>
        <w:spacing w:beforeLines="0" w:afterLines="0"/>
        <w:outlineLvl w:val="2"/>
        <w:rPr>
          <w:rFonts w:hint="eastAsia" w:ascii="宋体" w:hAnsi="宋体" w:eastAsia="宋体"/>
          <w:highlight w:val="none"/>
        </w:rPr>
      </w:pPr>
      <w:bookmarkStart w:id="488" w:name="_Toc15336"/>
      <w:bookmarkStart w:id="489" w:name="_Toc5438"/>
      <w:bookmarkStart w:id="490" w:name="_Toc234307649"/>
      <w:r>
        <w:rPr>
          <w:rFonts w:hint="eastAsia" w:ascii="宋体" w:hAnsi="宋体" w:eastAsia="宋体"/>
          <w:highlight w:val="none"/>
        </w:rPr>
        <w:t>按GB/T 5226.1的规定进行耐压试验。</w:t>
      </w:r>
      <w:bookmarkEnd w:id="488"/>
      <w:bookmarkEnd w:id="489"/>
      <w:bookmarkEnd w:id="490"/>
    </w:p>
    <w:p w14:paraId="6A2BE09C">
      <w:pPr>
        <w:pStyle w:val="162"/>
        <w:numPr>
          <w:ilvl w:val="3"/>
          <w:numId w:val="18"/>
        </w:numPr>
        <w:spacing w:beforeLines="0" w:afterLines="0"/>
        <w:outlineLvl w:val="2"/>
        <w:rPr>
          <w:rFonts w:hint="eastAsia" w:ascii="宋体" w:hAnsi="宋体" w:eastAsia="宋体"/>
          <w:highlight w:val="none"/>
        </w:rPr>
      </w:pPr>
      <w:bookmarkStart w:id="491" w:name="_Toc234307650"/>
      <w:bookmarkStart w:id="492" w:name="_Toc13120"/>
      <w:bookmarkStart w:id="493" w:name="_Toc8339"/>
      <w:r>
        <w:rPr>
          <w:rFonts w:hint="eastAsia" w:ascii="宋体" w:hAnsi="宋体" w:eastAsia="宋体"/>
          <w:highlight w:val="none"/>
        </w:rPr>
        <w:t>按GB/T 4208的规定检查上粉机的防</w:t>
      </w:r>
      <w:r>
        <w:rPr>
          <w:rFonts w:hint="eastAsia" w:ascii="宋体" w:hAnsi="宋体" w:eastAsia="宋体" w:cs="宋体"/>
          <w:color w:val="000000"/>
          <w:highlight w:val="none"/>
        </w:rPr>
        <w:t>护装置及防护等级</w:t>
      </w:r>
      <w:r>
        <w:rPr>
          <w:rFonts w:hint="eastAsia" w:ascii="宋体" w:hAnsi="宋体" w:eastAsia="宋体"/>
          <w:highlight w:val="none"/>
        </w:rPr>
        <w:t>。</w:t>
      </w:r>
      <w:bookmarkEnd w:id="491"/>
      <w:bookmarkEnd w:id="492"/>
      <w:bookmarkEnd w:id="493"/>
    </w:p>
    <w:p w14:paraId="3054B82D">
      <w:pPr>
        <w:numPr>
          <w:ilvl w:val="3"/>
          <w:numId w:val="18"/>
        </w:numPr>
        <w:outlineLvl w:val="2"/>
        <w:rPr>
          <w:rFonts w:hint="eastAsia" w:ascii="宋体" w:hAnsi="宋体"/>
          <w:kern w:val="0"/>
          <w:szCs w:val="21"/>
          <w:highlight w:val="none"/>
        </w:rPr>
      </w:pPr>
      <w:bookmarkStart w:id="494" w:name="_Toc5354"/>
      <w:bookmarkStart w:id="495" w:name="_Toc11975"/>
      <w:bookmarkStart w:id="496" w:name="_Toc233823942"/>
      <w:bookmarkStart w:id="497" w:name="_Toc26520"/>
      <w:bookmarkStart w:id="498" w:name="_Toc22735"/>
      <w:r>
        <w:rPr>
          <w:rFonts w:hint="eastAsia" w:ascii="宋体" w:hAnsi="宋体"/>
          <w:kern w:val="0"/>
          <w:szCs w:val="21"/>
          <w:highlight w:val="none"/>
        </w:rPr>
        <w:t>目测或触摸检查电气部件的安全防水措施。配电箱在经过淋雨试验</w:t>
      </w:r>
      <w:r>
        <w:rPr>
          <w:rFonts w:hint="eastAsia" w:ascii="宋体" w:hAnsi="宋体"/>
          <w:kern w:val="0"/>
          <w:szCs w:val="21"/>
          <w:highlight w:val="none"/>
        </w:rPr>
        <w:t>后</w:t>
      </w:r>
      <w:r>
        <w:rPr>
          <w:rFonts w:hint="eastAsia" w:ascii="宋体" w:hAnsi="宋体"/>
          <w:kern w:val="0"/>
          <w:szCs w:val="21"/>
          <w:highlight w:val="none"/>
          <w:lang w:eastAsia="zh-CN"/>
        </w:rPr>
        <w:t>，按</w:t>
      </w:r>
      <w:r>
        <w:rPr>
          <w:rFonts w:hint="eastAsia" w:ascii="宋体" w:hAnsi="宋体"/>
          <w:kern w:val="0"/>
          <w:szCs w:val="21"/>
          <w:highlight w:val="none"/>
        </w:rPr>
        <w:t>GB/T 5226.1的规定检测上粉机的电气绝缘性能。</w:t>
      </w:r>
      <w:bookmarkEnd w:id="494"/>
      <w:bookmarkEnd w:id="495"/>
      <w:bookmarkEnd w:id="496"/>
      <w:bookmarkEnd w:id="497"/>
      <w:bookmarkEnd w:id="498"/>
    </w:p>
    <w:p w14:paraId="3D2A560A">
      <w:pPr>
        <w:numPr>
          <w:ilvl w:val="3"/>
          <w:numId w:val="18"/>
        </w:numPr>
        <w:outlineLvl w:val="2"/>
        <w:rPr>
          <w:highlight w:val="none"/>
        </w:rPr>
      </w:pPr>
      <w:bookmarkStart w:id="499" w:name="_Toc62"/>
      <w:bookmarkStart w:id="500" w:name="_Toc5358"/>
      <w:bookmarkStart w:id="501" w:name="_Toc32441"/>
      <w:bookmarkStart w:id="502" w:name="_Toc7336"/>
      <w:bookmarkStart w:id="503" w:name="_Toc233823943"/>
      <w:r>
        <w:rPr>
          <w:rFonts w:hint="eastAsia" w:ascii="宋体" w:hAnsi="宋体" w:cs="宋体"/>
          <w:kern w:val="0"/>
          <w:szCs w:val="20"/>
          <w:highlight w:val="none"/>
        </w:rPr>
        <w:t>上粉机正常工作时，用万用表测量上粉机的供电电压，并计算供电电压与额定电压的偏差。</w:t>
      </w:r>
      <w:bookmarkEnd w:id="499"/>
      <w:bookmarkEnd w:id="500"/>
      <w:bookmarkEnd w:id="501"/>
      <w:bookmarkEnd w:id="502"/>
      <w:bookmarkEnd w:id="503"/>
    </w:p>
    <w:bookmarkEnd w:id="475"/>
    <w:p w14:paraId="1C33803F">
      <w:pPr>
        <w:widowControl/>
        <w:numPr>
          <w:ilvl w:val="2"/>
          <w:numId w:val="18"/>
        </w:numPr>
        <w:spacing w:before="156" w:beforeLines="50" w:after="156" w:afterLines="50"/>
        <w:outlineLvl w:val="1"/>
        <w:rPr>
          <w:rFonts w:ascii="黑体" w:eastAsia="黑体"/>
          <w:kern w:val="0"/>
          <w:szCs w:val="21"/>
          <w:highlight w:val="none"/>
        </w:rPr>
      </w:pPr>
      <w:bookmarkStart w:id="504" w:name="_Toc196241241"/>
      <w:bookmarkEnd w:id="504"/>
      <w:bookmarkStart w:id="505" w:name="_Toc196241233"/>
      <w:bookmarkEnd w:id="505"/>
      <w:bookmarkStart w:id="506" w:name="_Toc196241240"/>
      <w:bookmarkEnd w:id="506"/>
      <w:bookmarkStart w:id="507" w:name="_Toc196241231"/>
      <w:bookmarkEnd w:id="507"/>
      <w:bookmarkStart w:id="508" w:name="_Toc196241238"/>
      <w:bookmarkEnd w:id="508"/>
      <w:bookmarkStart w:id="509" w:name="_Toc196241234"/>
      <w:bookmarkEnd w:id="509"/>
      <w:bookmarkStart w:id="510" w:name="_Toc196241235"/>
      <w:bookmarkEnd w:id="510"/>
      <w:bookmarkStart w:id="511" w:name="_Toc196241237"/>
      <w:bookmarkEnd w:id="511"/>
      <w:bookmarkStart w:id="512" w:name="_Toc196241239"/>
      <w:bookmarkEnd w:id="512"/>
      <w:bookmarkStart w:id="513" w:name="_Toc196241232"/>
      <w:bookmarkEnd w:id="513"/>
      <w:bookmarkStart w:id="514" w:name="_Toc196241236"/>
      <w:bookmarkEnd w:id="514"/>
      <w:bookmarkStart w:id="515" w:name="_Toc20384"/>
      <w:bookmarkStart w:id="516" w:name="_Toc186914377"/>
      <w:r>
        <w:rPr>
          <w:rFonts w:hint="eastAsia" w:ascii="黑体" w:eastAsia="黑体"/>
          <w:kern w:val="0"/>
          <w:szCs w:val="21"/>
          <w:highlight w:val="none"/>
        </w:rPr>
        <w:t>性能试验</w:t>
      </w:r>
      <w:bookmarkEnd w:id="515"/>
      <w:bookmarkEnd w:id="516"/>
    </w:p>
    <w:p w14:paraId="7ECBB6B7">
      <w:pPr>
        <w:widowControl/>
        <w:numPr>
          <w:ilvl w:val="3"/>
          <w:numId w:val="18"/>
        </w:numPr>
        <w:spacing w:before="120" w:after="120"/>
        <w:outlineLvl w:val="2"/>
        <w:rPr>
          <w:rFonts w:eastAsia="黑体"/>
          <w:kern w:val="0"/>
          <w:szCs w:val="21"/>
          <w:highlight w:val="none"/>
        </w:rPr>
      </w:pPr>
      <w:bookmarkStart w:id="517" w:name="_Toc196241243"/>
      <w:bookmarkStart w:id="518" w:name="_Toc32414"/>
      <w:bookmarkStart w:id="519" w:name="_Toc196238862"/>
      <w:bookmarkStart w:id="520" w:name="_Toc9964"/>
      <w:bookmarkStart w:id="521" w:name="_Toc234307652"/>
      <w:r>
        <w:rPr>
          <w:rFonts w:hint="eastAsia" w:eastAsia="黑体"/>
          <w:kern w:val="0"/>
          <w:szCs w:val="21"/>
          <w:highlight w:val="none"/>
        </w:rPr>
        <w:t>空载运行试验</w:t>
      </w:r>
      <w:bookmarkEnd w:id="517"/>
      <w:bookmarkEnd w:id="518"/>
      <w:bookmarkEnd w:id="519"/>
      <w:bookmarkEnd w:id="520"/>
      <w:bookmarkEnd w:id="521"/>
    </w:p>
    <w:p w14:paraId="682D95C5">
      <w:pPr>
        <w:autoSpaceDE w:val="0"/>
        <w:autoSpaceDN w:val="0"/>
        <w:ind w:firstLine="420" w:firstLineChars="200"/>
        <w:rPr>
          <w:rFonts w:hint="eastAsia" w:ascii="宋体" w:hAnsi="宋体" w:cs="宋体"/>
          <w:bCs/>
          <w:szCs w:val="22"/>
          <w:highlight w:val="none"/>
        </w:rPr>
      </w:pPr>
      <w:r>
        <w:rPr>
          <w:rFonts w:hint="eastAsia" w:ascii="宋体" w:hAnsi="宋体" w:cs="宋体"/>
          <w:highlight w:val="none"/>
        </w:rPr>
        <w:t>上粉机</w:t>
      </w:r>
      <w:r>
        <w:rPr>
          <w:rFonts w:ascii="宋体" w:hAnsi="宋体" w:cs="宋体"/>
          <w:highlight w:val="none"/>
        </w:rPr>
        <w:t>连续运转时间不少于</w:t>
      </w:r>
      <w:r>
        <w:rPr>
          <w:rFonts w:hint="eastAsia" w:ascii="宋体" w:hAnsi="宋体" w:cs="宋体"/>
          <w:highlight w:val="none"/>
        </w:rPr>
        <w:t>30 min，</w:t>
      </w:r>
      <w:r>
        <w:rPr>
          <w:rFonts w:ascii="宋体" w:hAnsi="宋体" w:cs="宋体"/>
          <w:highlight w:val="none"/>
        </w:rPr>
        <w:t>检查</w:t>
      </w:r>
      <w:r>
        <w:rPr>
          <w:rFonts w:hint="eastAsia" w:ascii="宋体" w:hAnsi="宋体" w:cs="宋体"/>
          <w:highlight w:val="none"/>
        </w:rPr>
        <w:t>上粉机</w:t>
      </w:r>
      <w:r>
        <w:rPr>
          <w:rFonts w:ascii="宋体" w:hAnsi="宋体" w:cs="宋体"/>
          <w:highlight w:val="none"/>
        </w:rPr>
        <w:t>运转情况和工作稳定性，包括但不限于设备的启动、停止动作的灵活性，操作开关、报警装置</w:t>
      </w:r>
      <w:r>
        <w:rPr>
          <w:rFonts w:hint="eastAsia" w:ascii="宋体" w:hAnsi="宋体" w:cs="宋体"/>
          <w:color w:val="000000"/>
          <w:kern w:val="0"/>
          <w:szCs w:val="21"/>
          <w:highlight w:val="none"/>
        </w:rPr>
        <w:t>和过载保护装置的</w:t>
      </w:r>
      <w:r>
        <w:rPr>
          <w:rFonts w:ascii="宋体" w:hAnsi="宋体" w:cs="宋体"/>
          <w:highlight w:val="none"/>
        </w:rPr>
        <w:t>可靠性等</w:t>
      </w:r>
      <w:r>
        <w:rPr>
          <w:rFonts w:ascii="宋体" w:hAnsi="宋体" w:cs="宋体"/>
          <w:bCs/>
          <w:highlight w:val="none"/>
        </w:rPr>
        <w:t>。</w:t>
      </w:r>
    </w:p>
    <w:p w14:paraId="37D79A2E">
      <w:pPr>
        <w:keepNext w:val="0"/>
        <w:keepLines w:val="0"/>
        <w:pageBreakBefore w:val="0"/>
        <w:widowControl/>
        <w:numPr>
          <w:ilvl w:val="3"/>
          <w:numId w:val="18"/>
        </w:numPr>
        <w:kinsoku/>
        <w:wordWrap/>
        <w:overflowPunct/>
        <w:topLinePunct w:val="0"/>
        <w:autoSpaceDE/>
        <w:autoSpaceDN/>
        <w:bidi w:val="0"/>
        <w:adjustRightInd/>
        <w:snapToGrid/>
        <w:spacing w:before="120" w:after="120"/>
        <w:textAlignment w:val="auto"/>
        <w:outlineLvl w:val="2"/>
        <w:rPr>
          <w:rFonts w:hint="eastAsia" w:ascii="宋体" w:hAnsi="宋体" w:cs="宋体"/>
          <w:highlight w:val="none"/>
        </w:rPr>
      </w:pPr>
      <w:bookmarkStart w:id="522" w:name="_Toc23650"/>
      <w:bookmarkStart w:id="523" w:name="_Toc21967"/>
      <w:bookmarkStart w:id="524" w:name="_Toc196238863"/>
      <w:bookmarkStart w:id="525" w:name="_Toc234307653"/>
      <w:bookmarkStart w:id="526" w:name="_Toc196241244"/>
      <w:r>
        <w:rPr>
          <w:rFonts w:hint="eastAsia" w:eastAsia="黑体"/>
          <w:kern w:val="0"/>
          <w:szCs w:val="21"/>
          <w:highlight w:val="none"/>
        </w:rPr>
        <w:t>负载运行试验</w:t>
      </w:r>
      <w:bookmarkEnd w:id="522"/>
      <w:bookmarkEnd w:id="523"/>
      <w:bookmarkEnd w:id="524"/>
      <w:bookmarkEnd w:id="525"/>
      <w:bookmarkEnd w:id="526"/>
    </w:p>
    <w:p w14:paraId="6542BAF7">
      <w:pPr>
        <w:pStyle w:val="157"/>
        <w:numPr>
          <w:ilvl w:val="4"/>
          <w:numId w:val="18"/>
        </w:numPr>
        <w:spacing w:before="156" w:after="156"/>
        <w:outlineLvl w:val="3"/>
        <w:rPr>
          <w:color w:val="000000"/>
          <w:highlight w:val="none"/>
        </w:rPr>
      </w:pPr>
      <w:bookmarkStart w:id="527" w:name="_Toc233823950"/>
      <w:bookmarkStart w:id="528" w:name="_Toc3903"/>
      <w:r>
        <w:rPr>
          <w:rFonts w:hint="eastAsia"/>
          <w:highlight w:val="none"/>
        </w:rPr>
        <w:t>生产能力</w:t>
      </w:r>
      <w:r>
        <w:rPr>
          <w:rFonts w:hint="eastAsia"/>
          <w:color w:val="000000"/>
          <w:highlight w:val="none"/>
        </w:rPr>
        <w:t>试验</w:t>
      </w:r>
      <w:bookmarkEnd w:id="527"/>
      <w:bookmarkEnd w:id="528"/>
    </w:p>
    <w:p w14:paraId="4C0B70EB">
      <w:pPr>
        <w:pStyle w:val="153"/>
        <w:ind w:firstLine="420"/>
        <w:rPr>
          <w:kern w:val="2"/>
          <w:szCs w:val="22"/>
          <w:highlight w:val="none"/>
        </w:rPr>
      </w:pPr>
      <w:r>
        <w:rPr>
          <w:rFonts w:hint="eastAsia"/>
          <w:highlight w:val="none"/>
        </w:rPr>
        <w:t>上粉机正常运行时，</w:t>
      </w:r>
      <w:r>
        <w:rPr>
          <w:highlight w:val="none"/>
        </w:rPr>
        <w:t>随机连续抽取</w:t>
      </w:r>
      <w:r>
        <w:rPr>
          <w:rFonts w:hint="eastAsia"/>
          <w:highlight w:val="none"/>
        </w:rPr>
        <w:t>不少于</w:t>
      </w:r>
      <w:r>
        <w:rPr>
          <w:highlight w:val="none"/>
        </w:rPr>
        <w:t>1</w:t>
      </w:r>
      <w:r>
        <w:rPr>
          <w:rFonts w:hint="eastAsia"/>
          <w:highlight w:val="none"/>
        </w:rPr>
        <w:t>0 min的成品质量，按公式（1）计算上粉机的生产能力，重复进行3次，取平均值。</w:t>
      </w:r>
    </w:p>
    <w:p w14:paraId="6DF7C361">
      <w:pPr>
        <w:tabs>
          <w:tab w:val="center" w:leader="middleDot" w:pos="5250"/>
          <w:tab w:val="center" w:pos="31680"/>
        </w:tabs>
        <w:autoSpaceDE w:val="0"/>
        <w:autoSpaceDN w:val="0"/>
        <w:ind w:firstLine="420"/>
        <w:jc w:val="right"/>
        <w:rPr>
          <w:szCs w:val="21"/>
          <w:highlight w:val="none"/>
        </w:rPr>
      </w:pPr>
      <m:oMath>
        <m:r>
          <m:rPr/>
          <w:rPr>
            <w:rFonts w:ascii="Cambria Math" w:hAnsi="Cambria Math"/>
            <w:highlight w:val="none"/>
          </w:rPr>
          <m:t>M=</m:t>
        </m:r>
        <m:f>
          <m:fPr>
            <m:ctrlPr>
              <w:rPr>
                <w:rFonts w:ascii="Cambria Math" w:hAnsi="Cambria Math"/>
                <w:i/>
                <w:highlight w:val="none"/>
              </w:rPr>
            </m:ctrlPr>
          </m:fPr>
          <m:num>
            <m:sSub>
              <m:sSubPr>
                <m:ctrlPr>
                  <w:rPr>
                    <w:rFonts w:ascii="Cambria Math" w:hAnsi="Cambria Math"/>
                    <w:i/>
                    <w:highlight w:val="none"/>
                  </w:rPr>
                </m:ctrlPr>
              </m:sSubPr>
              <m:e>
                <m:r>
                  <m:rPr/>
                  <w:rPr>
                    <w:rFonts w:hint="eastAsia" w:ascii="Cambria Math" w:hAnsi="Cambria Math"/>
                    <w:highlight w:val="none"/>
                  </w:rPr>
                  <m:t>m</m:t>
                </m:r>
                <m:ctrlPr>
                  <w:rPr>
                    <w:rFonts w:ascii="Cambria Math" w:hAnsi="Cambria Math"/>
                    <w:i/>
                    <w:highlight w:val="none"/>
                  </w:rPr>
                </m:ctrlPr>
              </m:e>
              <m:sub>
                <m:r>
                  <m:rPr/>
                  <w:rPr>
                    <w:rFonts w:ascii="Cambria Math" w:hAnsi="Cambria Math"/>
                    <w:highlight w:val="none"/>
                  </w:rPr>
                  <m:t>1</m:t>
                </m:r>
                <m:ctrlPr>
                  <w:rPr>
                    <w:rFonts w:ascii="Cambria Math" w:hAnsi="Cambria Math"/>
                    <w:i/>
                    <w:highlight w:val="none"/>
                  </w:rPr>
                </m:ctrlPr>
              </m:sub>
            </m:sSub>
            <m:ctrlPr>
              <w:rPr>
                <w:rFonts w:ascii="Cambria Math" w:hAnsi="Cambria Math"/>
                <w:i/>
                <w:highlight w:val="none"/>
              </w:rPr>
            </m:ctrlPr>
          </m:num>
          <m:den>
            <m:sSub>
              <m:sSubPr>
                <m:ctrlPr>
                  <w:rPr>
                    <w:rFonts w:ascii="Cambria Math" w:hAnsi="Cambria Math"/>
                    <w:i/>
                    <w:highlight w:val="none"/>
                  </w:rPr>
                </m:ctrlPr>
              </m:sSubPr>
              <m:e>
                <m:r>
                  <m:rPr/>
                  <w:rPr>
                    <w:rFonts w:ascii="Cambria Math" w:hAnsi="Cambria Math"/>
                    <w:highlight w:val="none"/>
                  </w:rPr>
                  <m:t>H</m:t>
                </m:r>
                <m:ctrlPr>
                  <w:rPr>
                    <w:rFonts w:ascii="Cambria Math" w:hAnsi="Cambria Math"/>
                    <w:i/>
                    <w:highlight w:val="none"/>
                  </w:rPr>
                </m:ctrlPr>
              </m:e>
              <m:sub>
                <m:r>
                  <m:rPr/>
                  <w:rPr>
                    <w:rFonts w:ascii="Cambria Math" w:hAnsi="Cambria Math"/>
                    <w:highlight w:val="none"/>
                  </w:rPr>
                  <m:t>1</m:t>
                </m:r>
                <m:ctrlPr>
                  <w:rPr>
                    <w:rFonts w:ascii="Cambria Math" w:hAnsi="Cambria Math"/>
                    <w:i/>
                    <w:highlight w:val="none"/>
                  </w:rPr>
                </m:ctrlPr>
              </m:sub>
            </m:sSub>
            <m:ctrlPr>
              <w:rPr>
                <w:rFonts w:ascii="Cambria Math" w:hAnsi="Cambria Math"/>
                <w:i/>
                <w:highlight w:val="none"/>
              </w:rPr>
            </m:ctrlPr>
          </m:den>
        </m:f>
        <m:r>
          <m:rPr/>
          <w:rPr>
            <w:rFonts w:ascii="Cambria Math" w:hAnsi="Cambria Math"/>
            <w:highlight w:val="none"/>
          </w:rPr>
          <m:t>×60</m:t>
        </m:r>
      </m:oMath>
      <w:r>
        <w:rPr>
          <w:szCs w:val="21"/>
          <w:highlight w:val="none"/>
        </w:rPr>
        <w:tab/>
      </w:r>
      <w:r>
        <w:rPr>
          <w:rFonts w:hint="eastAsia"/>
          <w:szCs w:val="21"/>
          <w:highlight w:val="none"/>
        </w:rPr>
        <w:t>（1）</w:t>
      </w:r>
    </w:p>
    <w:p w14:paraId="550F628A">
      <w:pPr>
        <w:pStyle w:val="153"/>
        <w:ind w:firstLine="420"/>
        <w:rPr>
          <w:highlight w:val="none"/>
        </w:rPr>
      </w:pPr>
    </w:p>
    <w:p w14:paraId="4A441D2D">
      <w:pPr>
        <w:pStyle w:val="153"/>
        <w:ind w:firstLine="420"/>
        <w:rPr>
          <w:highlight w:val="none"/>
        </w:rPr>
      </w:pPr>
      <w:r>
        <w:rPr>
          <w:rFonts w:hint="eastAsia"/>
          <w:highlight w:val="none"/>
        </w:rPr>
        <w:t>式中：</w:t>
      </w:r>
    </w:p>
    <w:p w14:paraId="32202768">
      <w:pPr>
        <w:pStyle w:val="153"/>
        <w:ind w:firstLine="420"/>
        <w:rPr>
          <w:highlight w:val="none"/>
        </w:rPr>
      </w:pPr>
      <m:oMath>
        <m:r>
          <m:rPr/>
          <w:rPr>
            <w:rFonts w:ascii="Cambria Math" w:hAnsi="Cambria Math" w:cs="宋体"/>
            <w:highlight w:val="none"/>
          </w:rPr>
          <m:t xml:space="preserve">M </m:t>
        </m:r>
      </m:oMath>
      <w:r>
        <w:rPr>
          <w:rFonts w:hint="eastAsia"/>
          <w:highlight w:val="none"/>
        </w:rPr>
        <w:t>——上粉机生产能力，单位为千</w:t>
      </w:r>
      <w:r>
        <w:rPr>
          <w:rFonts w:hint="eastAsia"/>
          <w:highlight w:val="none"/>
        </w:rPr>
        <w:t>克每</w:t>
      </w:r>
      <w:r>
        <w:rPr>
          <w:rFonts w:hint="eastAsia"/>
          <w:highlight w:val="none"/>
        </w:rPr>
        <w:t>小时（k</w:t>
      </w:r>
      <w:r>
        <w:rPr>
          <w:highlight w:val="none"/>
        </w:rPr>
        <w:t>g</w:t>
      </w:r>
      <w:r>
        <w:rPr>
          <w:rFonts w:hint="eastAsia"/>
          <w:highlight w:val="none"/>
        </w:rPr>
        <w:t>/h）；</w:t>
      </w:r>
    </w:p>
    <w:p w14:paraId="16949561">
      <w:pPr>
        <w:pStyle w:val="153"/>
        <w:ind w:firstLine="420"/>
        <w:rPr>
          <w:highlight w:val="none"/>
        </w:rPr>
      </w:pPr>
      <m:oMath>
        <m:sSub>
          <m:sSubPr>
            <m:ctrlPr>
              <w:rPr>
                <w:rFonts w:ascii="Cambria Math" w:hAnsi="Cambria Math" w:cs="宋体"/>
                <w:i/>
                <w:highlight w:val="none"/>
              </w:rPr>
            </m:ctrlPr>
          </m:sSubPr>
          <m:e>
            <m:r>
              <m:rPr/>
              <w:rPr>
                <w:rFonts w:ascii="Cambria Math" w:hAnsi="Cambria Math" w:cs="宋体"/>
                <w:highlight w:val="none"/>
              </w:rPr>
              <m:t>m</m:t>
            </m:r>
            <m:ctrlPr>
              <w:rPr>
                <w:rFonts w:ascii="Cambria Math" w:hAnsi="Cambria Math" w:cs="宋体"/>
                <w:i/>
                <w:highlight w:val="none"/>
              </w:rPr>
            </m:ctrlPr>
          </m:e>
          <m:sub>
            <m:r>
              <m:rPr/>
              <w:rPr>
                <w:rFonts w:ascii="Cambria Math" w:hAnsi="Cambria Math" w:cs="宋体"/>
                <w:highlight w:val="none"/>
              </w:rPr>
              <m:t>1</m:t>
            </m:r>
            <m:ctrlPr>
              <w:rPr>
                <w:rFonts w:ascii="Cambria Math" w:hAnsi="Cambria Math" w:cs="宋体"/>
                <w:i/>
                <w:highlight w:val="none"/>
              </w:rPr>
            </m:ctrlPr>
          </m:sub>
        </m:sSub>
      </m:oMath>
      <w:r>
        <w:rPr>
          <w:rFonts w:hint="eastAsia"/>
          <w:highlight w:val="none"/>
        </w:rPr>
        <w:t>——抽样时间段内生产的成品质量，单位为千克（kg）；</w:t>
      </w:r>
    </w:p>
    <w:p w14:paraId="5D33607C">
      <w:pPr>
        <w:pStyle w:val="153"/>
        <w:ind w:firstLine="420"/>
        <w:rPr>
          <w:highlight w:val="none"/>
        </w:rPr>
      </w:pPr>
      <m:oMath>
        <m:sSub>
          <m:sSubPr>
            <m:ctrlPr>
              <w:rPr>
                <w:rFonts w:ascii="Cambria Math" w:hAnsi="Cambria Math" w:cs="宋体"/>
                <w:i/>
                <w:highlight w:val="none"/>
              </w:rPr>
            </m:ctrlPr>
          </m:sSubPr>
          <m:e>
            <m:r>
              <m:rPr/>
              <w:rPr>
                <w:rFonts w:ascii="Cambria Math" w:hAnsi="Cambria Math" w:cs="宋体"/>
                <w:highlight w:val="none"/>
              </w:rPr>
              <m:t>H</m:t>
            </m:r>
            <m:ctrlPr>
              <w:rPr>
                <w:rFonts w:ascii="Cambria Math" w:hAnsi="Cambria Math" w:cs="宋体"/>
                <w:i/>
                <w:highlight w:val="none"/>
              </w:rPr>
            </m:ctrlPr>
          </m:e>
          <m:sub>
            <m:r>
              <m:rPr/>
              <w:rPr>
                <w:rFonts w:ascii="Cambria Math" w:hAnsi="Cambria Math" w:cs="宋体"/>
                <w:highlight w:val="none"/>
              </w:rPr>
              <m:t>1</m:t>
            </m:r>
            <m:ctrlPr>
              <w:rPr>
                <w:rFonts w:ascii="Cambria Math" w:hAnsi="Cambria Math" w:cs="宋体"/>
                <w:i/>
                <w:highlight w:val="none"/>
              </w:rPr>
            </m:ctrlPr>
          </m:sub>
        </m:sSub>
      </m:oMath>
      <w:r>
        <w:rPr>
          <w:rFonts w:hint="eastAsia"/>
          <w:highlight w:val="none"/>
        </w:rPr>
        <w:t>——连续抽样时间，单位为分钟（min）；</w:t>
      </w:r>
    </w:p>
    <w:p w14:paraId="1709625F">
      <w:pPr>
        <w:pStyle w:val="153"/>
        <w:ind w:firstLine="420"/>
        <w:rPr>
          <w:rFonts w:hint="eastAsia" w:hAnsi="宋体" w:cs="宋体"/>
          <w:highlight w:val="none"/>
        </w:rPr>
      </w:pPr>
      <w:r>
        <w:rPr>
          <w:rFonts w:hint="eastAsia" w:hAnsi="宋体" w:cs="宋体"/>
          <w:highlight w:val="none"/>
        </w:rPr>
        <w:t>60——时间换算系数。</w:t>
      </w:r>
    </w:p>
    <w:p w14:paraId="5E0F8A83">
      <w:pPr>
        <w:pStyle w:val="157"/>
        <w:numPr>
          <w:ilvl w:val="4"/>
          <w:numId w:val="18"/>
        </w:numPr>
        <w:spacing w:before="156" w:after="156"/>
        <w:outlineLvl w:val="3"/>
        <w:rPr>
          <w:highlight w:val="none"/>
        </w:rPr>
      </w:pPr>
      <w:bookmarkStart w:id="529" w:name="_Toc196241248"/>
      <w:r>
        <w:rPr>
          <w:rFonts w:hint="eastAsia"/>
          <w:highlight w:val="none"/>
        </w:rPr>
        <w:t>上粉质量试验</w:t>
      </w:r>
      <w:bookmarkEnd w:id="529"/>
    </w:p>
    <w:p w14:paraId="15419FAE">
      <w:pPr>
        <w:pStyle w:val="157"/>
        <w:numPr>
          <w:ilvl w:val="5"/>
          <w:numId w:val="18"/>
        </w:numPr>
        <w:spacing w:before="156" w:after="156"/>
        <w:outlineLvl w:val="4"/>
        <w:rPr>
          <w:highlight w:val="none"/>
        </w:rPr>
      </w:pPr>
      <w:r>
        <w:rPr>
          <w:rFonts w:hint="eastAsia"/>
          <w:highlight w:val="none"/>
        </w:rPr>
        <w:t>上粉合格率试验</w:t>
      </w:r>
    </w:p>
    <w:p w14:paraId="119792C2">
      <w:pPr>
        <w:pStyle w:val="153"/>
        <w:ind w:firstLine="420"/>
        <w:rPr>
          <w:highlight w:val="none"/>
        </w:rPr>
      </w:pPr>
      <w:r>
        <w:rPr>
          <w:rFonts w:hint="eastAsia"/>
          <w:highlight w:val="none"/>
        </w:rPr>
        <w:t>上粉机正常运行时，随机抽取成品样品，分3次取样，取样时间间隔不少于10 min，每次取样量不少于10</w:t>
      </w:r>
      <w:r>
        <w:rPr>
          <w:rFonts w:hint="eastAsia"/>
          <w:highlight w:val="none"/>
        </w:rPr>
        <w:t>0件</w:t>
      </w:r>
      <w:r>
        <w:rPr>
          <w:rFonts w:hint="eastAsia"/>
          <w:highlight w:val="none"/>
        </w:rPr>
        <w:t>，按公式（2）计算上粉合格率，取平均值。</w:t>
      </w:r>
    </w:p>
    <w:p w14:paraId="7EE5C6F5">
      <w:pPr>
        <w:tabs>
          <w:tab w:val="center" w:leader="middleDot" w:pos="5250"/>
          <w:tab w:val="center" w:pos="31680"/>
        </w:tabs>
        <w:autoSpaceDE w:val="0"/>
        <w:autoSpaceDN w:val="0"/>
        <w:ind w:firstLine="420"/>
        <w:jc w:val="right"/>
        <w:rPr>
          <w:szCs w:val="21"/>
          <w:highlight w:val="none"/>
        </w:rPr>
      </w:pPr>
      <m:oMath>
        <m:r>
          <m:rPr/>
          <w:rPr>
            <w:rFonts w:ascii="Cambria Math" w:hAnsi="Cambria Math"/>
            <w:highlight w:val="none"/>
          </w:rPr>
          <m:t>Q=</m:t>
        </m:r>
        <m:f>
          <m:fPr>
            <m:ctrlPr>
              <w:rPr>
                <w:rFonts w:ascii="Cambria Math" w:hAnsi="Cambria Math"/>
                <w:i/>
                <w:highlight w:val="none"/>
              </w:rPr>
            </m:ctrlPr>
          </m:fPr>
          <m:num>
            <m:r>
              <m:rPr/>
              <w:rPr>
                <w:rFonts w:ascii="Cambria Math" w:hAnsi="Cambria Math"/>
                <w:highlight w:val="none"/>
              </w:rPr>
              <m:t>N−n</m:t>
            </m:r>
            <m:ctrlPr>
              <w:rPr>
                <w:rFonts w:ascii="Cambria Math" w:hAnsi="Cambria Math"/>
                <w:i/>
                <w:highlight w:val="none"/>
              </w:rPr>
            </m:ctrlPr>
          </m:num>
          <m:den>
            <m:r>
              <m:rPr/>
              <w:rPr>
                <w:rFonts w:ascii="Cambria Math" w:hAnsi="Cambria Math"/>
                <w:highlight w:val="none"/>
              </w:rPr>
              <m:t>N</m:t>
            </m:r>
            <m:ctrlPr>
              <w:rPr>
                <w:rFonts w:ascii="Cambria Math" w:hAnsi="Cambria Math"/>
                <w:i/>
                <w:highlight w:val="none"/>
              </w:rPr>
            </m:ctrlPr>
          </m:den>
        </m:f>
        <m:r>
          <m:rPr/>
          <w:rPr>
            <w:rFonts w:ascii="Cambria Math" w:hAnsi="Cambria Math"/>
            <w:highlight w:val="none"/>
          </w:rPr>
          <m:t>×100</m:t>
        </m:r>
      </m:oMath>
      <w:r>
        <w:rPr>
          <w:szCs w:val="21"/>
          <w:highlight w:val="none"/>
        </w:rPr>
        <w:tab/>
      </w:r>
      <w:r>
        <w:rPr>
          <w:rFonts w:hint="eastAsia"/>
          <w:szCs w:val="21"/>
          <w:highlight w:val="none"/>
        </w:rPr>
        <w:t>（2）</w:t>
      </w:r>
    </w:p>
    <w:p w14:paraId="500EA4D5">
      <w:pPr>
        <w:pStyle w:val="153"/>
        <w:ind w:firstLine="420"/>
        <w:rPr>
          <w:highlight w:val="none"/>
        </w:rPr>
      </w:pPr>
      <w:r>
        <w:rPr>
          <w:rFonts w:hint="eastAsia"/>
          <w:highlight w:val="none"/>
        </w:rPr>
        <w:t>式中：</w:t>
      </w:r>
    </w:p>
    <w:p w14:paraId="5CD654B9">
      <w:pPr>
        <w:pStyle w:val="153"/>
        <w:ind w:firstLine="420"/>
        <w:rPr>
          <w:highlight w:val="none"/>
        </w:rPr>
      </w:pPr>
      <m:oMath>
        <m:r>
          <m:rPr/>
          <w:rPr>
            <w:rFonts w:ascii="Times New Roman"/>
            <w:highlight w:val="none"/>
          </w:rPr>
          <m:t>Q</m:t>
        </m:r>
        <m:r>
          <m:rPr/>
          <w:rPr>
            <w:rFonts w:hint="eastAsia" w:ascii="Times New Roman"/>
            <w:highlight w:val="none"/>
          </w:rPr>
          <m:t xml:space="preserve"> </m:t>
        </m:r>
      </m:oMath>
      <w:r>
        <w:rPr>
          <w:rFonts w:hint="eastAsia"/>
          <w:highlight w:val="none"/>
        </w:rPr>
        <w:t>——上粉合格率，%；</w:t>
      </w:r>
    </w:p>
    <w:p w14:paraId="257D12C7">
      <w:pPr>
        <w:pStyle w:val="153"/>
        <w:ind w:firstLine="420"/>
        <w:rPr>
          <w:highlight w:val="none"/>
        </w:rPr>
      </w:pPr>
      <m:oMath>
        <m:r>
          <m:rPr/>
          <w:rPr>
            <w:rFonts w:ascii="Times New Roman"/>
            <w:highlight w:val="none"/>
          </w:rPr>
          <m:t>N</m:t>
        </m:r>
        <m:r>
          <m:rPr>
            <m:sty m:val="p"/>
          </m:rPr>
          <w:rPr>
            <w:rFonts w:hint="eastAsia" w:ascii="Times New Roman"/>
            <w:highlight w:val="none"/>
          </w:rPr>
          <m:t xml:space="preserve"> </m:t>
        </m:r>
      </m:oMath>
      <w:r>
        <w:rPr>
          <w:rFonts w:hint="eastAsia"/>
          <w:highlight w:val="none"/>
        </w:rPr>
        <w:t>——成品样品数量，单位为件；</w:t>
      </w:r>
    </w:p>
    <w:p w14:paraId="4A462067">
      <w:pPr>
        <w:pStyle w:val="153"/>
        <w:ind w:firstLine="420"/>
        <w:rPr>
          <w:highlight w:val="none"/>
        </w:rPr>
      </w:pPr>
      <m:oMath>
        <m:r>
          <m:rPr/>
          <w:rPr>
            <w:rFonts w:ascii="Times New Roman"/>
            <w:highlight w:val="none"/>
          </w:rPr>
          <m:t>n</m:t>
        </m:r>
        <m:r>
          <m:rPr>
            <m:sty m:val="p"/>
          </m:rPr>
          <w:rPr>
            <w:rFonts w:hint="eastAsia" w:ascii="Times New Roman"/>
            <w:highlight w:val="none"/>
          </w:rPr>
          <m:t xml:space="preserve"> </m:t>
        </m:r>
      </m:oMath>
      <w:r>
        <w:rPr>
          <w:rFonts w:hint="eastAsia"/>
          <w:highlight w:val="none"/>
        </w:rPr>
        <w:t>——抽样中不合格品的数量，单位为件。</w:t>
      </w:r>
    </w:p>
    <w:p w14:paraId="7F55ED86">
      <w:pPr>
        <w:pStyle w:val="157"/>
        <w:numPr>
          <w:ilvl w:val="5"/>
          <w:numId w:val="18"/>
        </w:numPr>
        <w:spacing w:before="156" w:after="156"/>
        <w:outlineLvl w:val="4"/>
        <w:rPr>
          <w:highlight w:val="none"/>
        </w:rPr>
      </w:pPr>
      <w:r>
        <w:rPr>
          <w:rFonts w:hint="eastAsia"/>
          <w:highlight w:val="none"/>
        </w:rPr>
        <w:t>上粉率</w:t>
      </w:r>
      <w:r>
        <w:rPr>
          <w:rFonts w:hint="eastAsia"/>
          <w:highlight w:val="none"/>
        </w:rPr>
        <w:t>试验</w:t>
      </w:r>
    </w:p>
    <w:p w14:paraId="1E863347">
      <w:pPr>
        <w:autoSpaceDE w:val="0"/>
        <w:autoSpaceDN w:val="0"/>
        <w:ind w:firstLine="420" w:firstLineChars="200"/>
        <w:rPr>
          <w:rFonts w:hint="eastAsia" w:ascii="宋体" w:hAnsi="宋体" w:cs="宋体"/>
          <w:color w:val="000000"/>
          <w:kern w:val="0"/>
          <w:szCs w:val="20"/>
          <w:highlight w:val="none"/>
        </w:rPr>
      </w:pPr>
      <w:r>
        <w:rPr>
          <w:rFonts w:hint="eastAsia" w:ascii="宋体" w:hAnsi="宋体" w:cs="宋体"/>
          <w:color w:val="000000"/>
          <w:kern w:val="0"/>
          <w:szCs w:val="20"/>
          <w:highlight w:val="none"/>
        </w:rPr>
        <w:t>上粉机正常运行时，随机抽取成品样品，分3次取样，取样时间间隔不少于10 min，每次取样量不少于1 kg，按公式（3）计算上粉率，取平均值。</w:t>
      </w:r>
    </w:p>
    <w:p w14:paraId="1D69FF8A">
      <w:pPr>
        <w:tabs>
          <w:tab w:val="center" w:leader="middleDot" w:pos="5250"/>
          <w:tab w:val="center" w:pos="31680"/>
        </w:tabs>
        <w:autoSpaceDE w:val="0"/>
        <w:autoSpaceDN w:val="0"/>
        <w:ind w:firstLine="420"/>
        <w:jc w:val="right"/>
        <w:rPr>
          <w:rFonts w:ascii="Cambria Math" w:hAnsi="Cambria Math"/>
          <w:iCs/>
          <w:highlight w:val="none"/>
        </w:rPr>
      </w:pPr>
      <m:oMath>
        <m:r>
          <m:rPr/>
          <w:rPr>
            <w:rFonts w:ascii="Cambria Math" w:hAnsi="Cambria Math"/>
            <w:highlight w:val="none"/>
          </w:rPr>
          <m:t>R=</m:t>
        </m:r>
        <m:f>
          <m:fPr>
            <m:ctrlPr>
              <w:rPr>
                <w:rFonts w:ascii="Cambria Math" w:hAnsi="Cambria Math"/>
                <w:i/>
                <w:highlight w:val="none"/>
              </w:rPr>
            </m:ctrlPr>
          </m:fPr>
          <m:num>
            <m:sSub>
              <m:sSubPr>
                <m:ctrlPr>
                  <w:rPr>
                    <w:rFonts w:ascii="Cambria Math" w:hAnsi="Cambria Math"/>
                    <w:i/>
                    <w:highlight w:val="none"/>
                  </w:rPr>
                </m:ctrlPr>
              </m:sSubPr>
              <m:e>
                <m:r>
                  <m:rPr/>
                  <w:rPr>
                    <w:rFonts w:ascii="Cambria Math" w:hAnsi="Cambria Math"/>
                    <w:highlight w:val="none"/>
                  </w:rPr>
                  <m:t>m</m:t>
                </m:r>
                <m:ctrlPr>
                  <w:rPr>
                    <w:rFonts w:ascii="Cambria Math" w:hAnsi="Cambria Math"/>
                    <w:i/>
                    <w:highlight w:val="none"/>
                  </w:rPr>
                </m:ctrlPr>
              </m:e>
              <m:sub>
                <m:r>
                  <m:rPr/>
                  <w:rPr>
                    <w:rFonts w:ascii="Cambria Math" w:hAnsi="Cambria Math"/>
                    <w:highlight w:val="none"/>
                  </w:rPr>
                  <m:t>2</m:t>
                </m:r>
                <m:ctrlPr>
                  <w:rPr>
                    <w:rFonts w:ascii="Cambria Math" w:hAnsi="Cambria Math"/>
                    <w:i/>
                    <w:highlight w:val="none"/>
                  </w:rPr>
                </m:ctrlPr>
              </m:sub>
            </m:sSub>
            <m:r>
              <m:rPr/>
              <w:rPr>
                <w:rFonts w:ascii="Cambria Math" w:hAnsi="Cambria Math"/>
                <w:highlight w:val="none"/>
              </w:rPr>
              <m:t>−</m:t>
            </m:r>
            <m:sSub>
              <m:sSubPr>
                <m:ctrlPr>
                  <w:rPr>
                    <w:rFonts w:ascii="Cambria Math" w:hAnsi="Cambria Math"/>
                    <w:i/>
                    <w:highlight w:val="none"/>
                  </w:rPr>
                </m:ctrlPr>
              </m:sSubPr>
              <m:e>
                <m:r>
                  <m:rPr/>
                  <w:rPr>
                    <w:rFonts w:ascii="Cambria Math" w:hAnsi="Cambria Math"/>
                    <w:highlight w:val="none"/>
                  </w:rPr>
                  <m:t>m</m:t>
                </m:r>
                <m:ctrlPr>
                  <w:rPr>
                    <w:rFonts w:ascii="Cambria Math" w:hAnsi="Cambria Math"/>
                    <w:i/>
                    <w:highlight w:val="none"/>
                  </w:rPr>
                </m:ctrlPr>
              </m:e>
              <m:sub>
                <m:r>
                  <m:rPr/>
                  <w:rPr>
                    <w:rFonts w:ascii="Cambria Math" w:hAnsi="Cambria Math"/>
                    <w:highlight w:val="none"/>
                  </w:rPr>
                  <m:t>3</m:t>
                </m:r>
                <m:ctrlPr>
                  <w:rPr>
                    <w:rFonts w:ascii="Cambria Math" w:hAnsi="Cambria Math"/>
                    <w:i/>
                    <w:highlight w:val="none"/>
                  </w:rPr>
                </m:ctrlPr>
              </m:sub>
            </m:sSub>
            <m:ctrlPr>
              <w:rPr>
                <w:rFonts w:ascii="Cambria Math" w:hAnsi="Cambria Math"/>
                <w:i/>
                <w:highlight w:val="none"/>
              </w:rPr>
            </m:ctrlPr>
          </m:num>
          <m:den>
            <m:sSub>
              <m:sSubPr>
                <m:ctrlPr>
                  <w:rPr>
                    <w:rFonts w:ascii="Cambria Math" w:hAnsi="Cambria Math"/>
                    <w:i/>
                    <w:highlight w:val="none"/>
                  </w:rPr>
                </m:ctrlPr>
              </m:sSubPr>
              <m:e>
                <m:r>
                  <m:rPr/>
                  <w:rPr>
                    <w:rFonts w:ascii="Cambria Math" w:hAnsi="Cambria Math"/>
                    <w:highlight w:val="none"/>
                  </w:rPr>
                  <m:t>m</m:t>
                </m:r>
                <m:ctrlPr>
                  <w:rPr>
                    <w:rFonts w:ascii="Cambria Math" w:hAnsi="Cambria Math"/>
                    <w:i/>
                    <w:highlight w:val="none"/>
                  </w:rPr>
                </m:ctrlPr>
              </m:e>
              <m:sub>
                <m:r>
                  <m:rPr/>
                  <w:rPr>
                    <w:rFonts w:ascii="Cambria Math" w:hAnsi="Cambria Math"/>
                    <w:highlight w:val="none"/>
                  </w:rPr>
                  <m:t>3</m:t>
                </m:r>
                <m:ctrlPr>
                  <w:rPr>
                    <w:rFonts w:ascii="Cambria Math" w:hAnsi="Cambria Math"/>
                    <w:i/>
                    <w:highlight w:val="none"/>
                  </w:rPr>
                </m:ctrlPr>
              </m:sub>
            </m:sSub>
            <m:ctrlPr>
              <w:rPr>
                <w:rFonts w:ascii="Cambria Math" w:hAnsi="Cambria Math"/>
                <w:i/>
                <w:highlight w:val="none"/>
              </w:rPr>
            </m:ctrlPr>
          </m:den>
        </m:f>
        <m:r>
          <m:rPr/>
          <w:rPr>
            <w:rFonts w:ascii="Cambria Math" w:hAnsi="Cambria Math"/>
            <w:highlight w:val="none"/>
          </w:rPr>
          <m:t>×100</m:t>
        </m:r>
      </m:oMath>
      <w:r>
        <w:rPr>
          <w:rFonts w:ascii="Cambria Math" w:hAnsi="Cambria Math"/>
          <w:i/>
          <w:highlight w:val="none"/>
        </w:rPr>
        <w:tab/>
      </w:r>
      <w:r>
        <w:rPr>
          <w:rFonts w:hint="eastAsia" w:ascii="Cambria Math" w:hAnsi="Cambria Math"/>
          <w:iCs/>
          <w:highlight w:val="none"/>
        </w:rPr>
        <w:t>（</w:t>
      </w:r>
      <w:r>
        <w:rPr>
          <w:iCs/>
          <w:highlight w:val="none"/>
        </w:rPr>
        <w:t>3</w:t>
      </w:r>
      <w:r>
        <w:rPr>
          <w:rFonts w:hint="eastAsia" w:ascii="Cambria Math" w:hAnsi="Cambria Math"/>
          <w:iCs/>
          <w:highlight w:val="none"/>
        </w:rPr>
        <w:t>）</w:t>
      </w:r>
    </w:p>
    <w:p w14:paraId="067D1552">
      <w:pPr>
        <w:tabs>
          <w:tab w:val="center" w:leader="middleDot" w:pos="5250"/>
          <w:tab w:val="center" w:pos="31680"/>
        </w:tabs>
        <w:autoSpaceDE w:val="0"/>
        <w:autoSpaceDN w:val="0"/>
        <w:ind w:firstLine="420"/>
        <w:jc w:val="center"/>
        <w:rPr>
          <w:rFonts w:hAnsi="Cambria Math"/>
          <w:highlight w:val="none"/>
        </w:rPr>
      </w:pPr>
    </w:p>
    <w:p w14:paraId="07A7A982">
      <w:pPr>
        <w:pStyle w:val="153"/>
        <w:ind w:firstLine="420"/>
        <w:rPr>
          <w:highlight w:val="none"/>
        </w:rPr>
      </w:pPr>
      <w:r>
        <w:rPr>
          <w:rFonts w:hint="eastAsia"/>
          <w:highlight w:val="none"/>
        </w:rPr>
        <w:t>式中：</w:t>
      </w:r>
    </w:p>
    <w:p w14:paraId="461E94FA">
      <w:pPr>
        <w:pStyle w:val="153"/>
        <w:ind w:firstLine="420"/>
        <w:rPr>
          <w:highlight w:val="none"/>
        </w:rPr>
      </w:pPr>
      <m:oMath>
        <m:r>
          <m:rPr/>
          <w:rPr>
            <w:rFonts w:ascii="Times New Roman"/>
            <w:highlight w:val="none"/>
          </w:rPr>
          <m:t xml:space="preserve">R </m:t>
        </m:r>
      </m:oMath>
      <w:r>
        <w:rPr>
          <w:rFonts w:hint="eastAsia"/>
          <w:highlight w:val="none"/>
        </w:rPr>
        <w:t>——上粉率，%；</w:t>
      </w:r>
    </w:p>
    <w:p w14:paraId="1E460FDE">
      <w:pPr>
        <w:pStyle w:val="153"/>
        <w:ind w:firstLine="420"/>
        <w:rPr>
          <w:highlight w:val="none"/>
        </w:rPr>
      </w:pPr>
      <m:oMath>
        <m:sSub>
          <m:sSubPr>
            <m:ctrlPr>
              <w:rPr>
                <w:rFonts w:ascii="Cambria Math" w:hAnsi="Cambria Math" w:cs="宋体"/>
                <w:i/>
                <w:highlight w:val="none"/>
              </w:rPr>
            </m:ctrlPr>
          </m:sSubPr>
          <m:e>
            <m:r>
              <m:rPr/>
              <w:rPr>
                <w:rFonts w:ascii="Cambria Math" w:hAnsi="Cambria Math" w:cs="宋体"/>
                <w:highlight w:val="none"/>
              </w:rPr>
              <m:t>m</m:t>
            </m:r>
            <m:ctrlPr>
              <w:rPr>
                <w:rFonts w:ascii="Cambria Math" w:hAnsi="Cambria Math" w:cs="宋体"/>
                <w:i/>
                <w:highlight w:val="none"/>
              </w:rPr>
            </m:ctrlPr>
          </m:e>
          <m:sub>
            <m:r>
              <m:rPr/>
              <w:rPr>
                <w:rFonts w:ascii="Cambria Math" w:hAnsi="Cambria Math" w:cs="宋体"/>
                <w:highlight w:val="none"/>
              </w:rPr>
              <m:t>2</m:t>
            </m:r>
            <m:ctrlPr>
              <w:rPr>
                <w:rFonts w:ascii="Cambria Math" w:hAnsi="Cambria Math" w:cs="宋体"/>
                <w:i/>
                <w:highlight w:val="none"/>
              </w:rPr>
            </m:ctrlPr>
          </m:sub>
        </m:sSub>
      </m:oMath>
      <w:r>
        <w:rPr>
          <w:rFonts w:hint="eastAsia"/>
          <w:highlight w:val="none"/>
        </w:rPr>
        <w:t>——成品样品总质量，单位为千克（kg）；</w:t>
      </w:r>
    </w:p>
    <w:p w14:paraId="00DB7159">
      <w:pPr>
        <w:pStyle w:val="153"/>
        <w:ind w:firstLine="420"/>
        <w:rPr>
          <w:highlight w:val="none"/>
        </w:rPr>
      </w:pPr>
      <m:oMath>
        <m:sSub>
          <m:sSubPr>
            <m:ctrlPr>
              <w:rPr>
                <w:rFonts w:ascii="Cambria Math" w:hAnsi="Cambria Math" w:cs="宋体"/>
                <w:i/>
                <w:highlight w:val="none"/>
              </w:rPr>
            </m:ctrlPr>
          </m:sSubPr>
          <m:e>
            <m:r>
              <m:rPr/>
              <w:rPr>
                <w:rFonts w:ascii="Cambria Math" w:hAnsi="Cambria Math" w:cs="宋体"/>
                <w:highlight w:val="none"/>
              </w:rPr>
              <m:t>m</m:t>
            </m:r>
            <m:ctrlPr>
              <w:rPr>
                <w:rFonts w:ascii="Cambria Math" w:hAnsi="Cambria Math" w:cs="宋体"/>
                <w:i/>
                <w:highlight w:val="none"/>
              </w:rPr>
            </m:ctrlPr>
          </m:e>
          <m:sub>
            <m:r>
              <m:rPr/>
              <w:rPr>
                <w:rFonts w:ascii="Cambria Math" w:hAnsi="Cambria Math" w:cs="宋体"/>
                <w:highlight w:val="none"/>
              </w:rPr>
              <m:t>3</m:t>
            </m:r>
            <m:ctrlPr>
              <w:rPr>
                <w:rFonts w:ascii="Cambria Math" w:hAnsi="Cambria Math" w:cs="宋体"/>
                <w:i/>
                <w:highlight w:val="none"/>
              </w:rPr>
            </m:ctrlPr>
          </m:sub>
        </m:sSub>
      </m:oMath>
      <w:r>
        <w:rPr>
          <w:rFonts w:hint="eastAsia"/>
          <w:highlight w:val="none"/>
        </w:rPr>
        <w:t>——物料上粉前质量，单位为千克（kg）。</w:t>
      </w:r>
    </w:p>
    <w:p w14:paraId="7D98118F">
      <w:pPr>
        <w:widowControl/>
        <w:numPr>
          <w:ilvl w:val="4"/>
          <w:numId w:val="18"/>
        </w:numPr>
        <w:spacing w:before="156" w:beforeLines="50" w:after="156" w:afterLines="50"/>
        <w:outlineLvl w:val="3"/>
        <w:rPr>
          <w:rFonts w:eastAsia="黑体"/>
          <w:kern w:val="0"/>
          <w:szCs w:val="21"/>
          <w:highlight w:val="none"/>
        </w:rPr>
      </w:pPr>
      <w:r>
        <w:rPr>
          <w:rFonts w:hint="eastAsia" w:eastAsia="黑体"/>
          <w:kern w:val="0"/>
          <w:szCs w:val="21"/>
          <w:highlight w:val="none"/>
        </w:rPr>
        <w:t>网带宽度测量</w:t>
      </w:r>
    </w:p>
    <w:p w14:paraId="4DE69DED">
      <w:pPr>
        <w:autoSpaceDE w:val="0"/>
        <w:autoSpaceDN w:val="0"/>
        <w:ind w:firstLine="420" w:firstLineChars="200"/>
        <w:rPr>
          <w:rFonts w:hint="eastAsia" w:ascii="宋体" w:hAnsi="宋体" w:cs="宋体"/>
          <w:highlight w:val="none"/>
          <w:lang w:bidi="ar"/>
        </w:rPr>
      </w:pPr>
      <w:bookmarkStart w:id="530" w:name="_Hlk196323494"/>
      <w:r>
        <w:rPr>
          <w:rFonts w:hint="eastAsia" w:ascii="宋体" w:hAnsi="宋体" w:cs="宋体"/>
          <w:color w:val="000000"/>
          <w:kern w:val="0"/>
          <w:szCs w:val="20"/>
          <w:highlight w:val="none"/>
        </w:rPr>
        <w:t>用</w:t>
      </w:r>
      <w:bookmarkEnd w:id="530"/>
      <w:r>
        <w:rPr>
          <w:rFonts w:hint="eastAsia" w:ascii="宋体" w:hAnsi="宋体" w:cs="宋体"/>
          <w:color w:val="000000"/>
          <w:kern w:val="0"/>
          <w:szCs w:val="20"/>
          <w:highlight w:val="none"/>
        </w:rPr>
        <w:t>卷尺测量网带的宽度</w:t>
      </w:r>
      <w:r>
        <w:rPr>
          <w:rFonts w:hint="eastAsia" w:ascii="宋体" w:hAnsi="宋体" w:cs="宋体"/>
          <w:highlight w:val="none"/>
          <w:lang w:bidi="ar"/>
        </w:rPr>
        <w:t>。</w:t>
      </w:r>
    </w:p>
    <w:p w14:paraId="23455F99">
      <w:pPr>
        <w:widowControl/>
        <w:numPr>
          <w:ilvl w:val="4"/>
          <w:numId w:val="18"/>
        </w:numPr>
        <w:spacing w:before="156" w:beforeLines="50" w:after="156" w:afterLines="50"/>
        <w:outlineLvl w:val="3"/>
        <w:rPr>
          <w:rFonts w:eastAsia="黑体"/>
          <w:kern w:val="0"/>
          <w:szCs w:val="21"/>
          <w:highlight w:val="none"/>
        </w:rPr>
      </w:pPr>
      <w:r>
        <w:rPr>
          <w:rFonts w:hint="eastAsia" w:eastAsia="黑体"/>
          <w:kern w:val="0"/>
          <w:szCs w:val="21"/>
          <w:highlight w:val="none"/>
        </w:rPr>
        <w:t>输送速度试验</w:t>
      </w:r>
    </w:p>
    <w:p w14:paraId="37712389">
      <w:pPr>
        <w:autoSpaceDE w:val="0"/>
        <w:autoSpaceDN w:val="0"/>
        <w:spacing w:line="360" w:lineRule="auto"/>
        <w:ind w:firstLine="420" w:firstLineChars="200"/>
        <w:jc w:val="left"/>
        <w:rPr>
          <w:rFonts w:hint="eastAsia" w:ascii="宋体" w:hAnsi="宋体"/>
          <w:kern w:val="0"/>
          <w:szCs w:val="20"/>
          <w:highlight w:val="none"/>
        </w:rPr>
      </w:pPr>
      <w:r>
        <w:rPr>
          <w:rFonts w:hint="eastAsia" w:ascii="宋体" w:hAnsi="宋体"/>
          <w:kern w:val="0"/>
          <w:szCs w:val="20"/>
          <w:highlight w:val="none"/>
        </w:rPr>
        <w:t>上粉机正常工作时，用测速仪测量网带的输送速度。</w:t>
      </w:r>
    </w:p>
    <w:p w14:paraId="0A6D0608">
      <w:pPr>
        <w:widowControl/>
        <w:numPr>
          <w:ilvl w:val="4"/>
          <w:numId w:val="18"/>
        </w:numPr>
        <w:spacing w:before="156" w:beforeLines="50" w:after="156" w:afterLines="50"/>
        <w:outlineLvl w:val="3"/>
        <w:rPr>
          <w:rFonts w:eastAsia="黑体"/>
          <w:kern w:val="0"/>
          <w:szCs w:val="21"/>
          <w:highlight w:val="none"/>
        </w:rPr>
      </w:pPr>
      <w:r>
        <w:rPr>
          <w:rFonts w:hint="eastAsia" w:eastAsia="黑体"/>
          <w:kern w:val="0"/>
          <w:szCs w:val="21"/>
          <w:highlight w:val="none"/>
        </w:rPr>
        <w:t>速度调节试验</w:t>
      </w:r>
    </w:p>
    <w:p w14:paraId="138D0A6B">
      <w:pPr>
        <w:autoSpaceDE w:val="0"/>
        <w:autoSpaceDN w:val="0"/>
        <w:spacing w:line="360" w:lineRule="auto"/>
        <w:ind w:firstLine="420" w:firstLineChars="200"/>
        <w:jc w:val="left"/>
        <w:rPr>
          <w:rFonts w:hint="eastAsia" w:ascii="宋体" w:hAnsi="宋体"/>
          <w:kern w:val="0"/>
          <w:szCs w:val="20"/>
          <w:highlight w:val="none"/>
        </w:rPr>
      </w:pPr>
      <w:bookmarkStart w:id="531" w:name="_Toc196323962"/>
      <w:r>
        <w:rPr>
          <w:rFonts w:hint="eastAsia" w:ascii="宋体" w:hAnsi="宋体"/>
          <w:kern w:val="0"/>
          <w:szCs w:val="20"/>
          <w:highlight w:val="none"/>
        </w:rPr>
        <w:t>将上粉机主输送网带置于空运转状态，将调速装置分别调至最低、最高及5个任意中间档</w:t>
      </w:r>
      <w:r>
        <w:rPr>
          <w:rFonts w:hint="eastAsia" w:ascii="宋体" w:hAnsi="宋体"/>
          <w:kern w:val="0"/>
          <w:szCs w:val="20"/>
          <w:highlight w:val="none"/>
        </w:rPr>
        <w:t>位</w:t>
      </w:r>
      <w:r>
        <w:rPr>
          <w:rFonts w:hint="eastAsia" w:ascii="宋体" w:hAnsi="宋体"/>
          <w:kern w:val="0"/>
          <w:szCs w:val="20"/>
          <w:highlight w:val="none"/>
          <w:lang w:eastAsia="zh-CN"/>
        </w:rPr>
        <w:t>。</w:t>
      </w:r>
      <w:r>
        <w:rPr>
          <w:rFonts w:hint="eastAsia" w:ascii="宋体" w:hAnsi="宋体"/>
          <w:kern w:val="0"/>
          <w:szCs w:val="20"/>
          <w:highlight w:val="none"/>
        </w:rPr>
        <w:t>待</w:t>
      </w:r>
      <w:r>
        <w:rPr>
          <w:rFonts w:hint="eastAsia" w:ascii="宋体" w:hAnsi="宋体"/>
          <w:kern w:val="0"/>
          <w:szCs w:val="20"/>
          <w:highlight w:val="none"/>
        </w:rPr>
        <w:t>稳定运行后，采用测速仪检测并记录主输送网带有效工作段在不同速度档位对应的线速度。</w:t>
      </w:r>
    </w:p>
    <w:bookmarkEnd w:id="531"/>
    <w:p w14:paraId="24D5767A">
      <w:pPr>
        <w:widowControl/>
        <w:numPr>
          <w:ilvl w:val="4"/>
          <w:numId w:val="18"/>
        </w:numPr>
        <w:spacing w:before="156" w:beforeLines="50" w:after="156" w:afterLines="50"/>
        <w:outlineLvl w:val="3"/>
        <w:rPr>
          <w:rFonts w:eastAsia="黑体"/>
          <w:kern w:val="0"/>
          <w:szCs w:val="21"/>
          <w:highlight w:val="none"/>
        </w:rPr>
      </w:pPr>
      <w:r>
        <w:rPr>
          <w:rFonts w:hint="eastAsia" w:eastAsia="黑体"/>
          <w:kern w:val="0"/>
          <w:szCs w:val="21"/>
          <w:highlight w:val="none"/>
        </w:rPr>
        <w:t>输入、输出高度测量</w:t>
      </w:r>
    </w:p>
    <w:p w14:paraId="2C2EE45D">
      <w:pPr>
        <w:autoSpaceDE w:val="0"/>
        <w:autoSpaceDN w:val="0"/>
        <w:spacing w:line="360" w:lineRule="auto"/>
        <w:ind w:firstLine="420" w:firstLineChars="200"/>
        <w:jc w:val="left"/>
        <w:rPr>
          <w:rFonts w:hint="eastAsia" w:ascii="宋体" w:hAnsi="宋体" w:cs="宋体"/>
          <w:sz w:val="24"/>
          <w:highlight w:val="none"/>
        </w:rPr>
      </w:pPr>
      <w:bookmarkStart w:id="532" w:name="_Toc196323963"/>
      <w:r>
        <w:rPr>
          <w:rFonts w:hint="eastAsia" w:ascii="宋体" w:hAnsi="宋体"/>
          <w:kern w:val="0"/>
          <w:szCs w:val="20"/>
          <w:highlight w:val="none"/>
        </w:rPr>
        <w:t>将上粉机置于平整水平地面，使用卷尺分别测量输入网带和输出网带承载物料的上表面（即工作基准面）至地平面的垂直高度。</w:t>
      </w:r>
    </w:p>
    <w:bookmarkEnd w:id="532"/>
    <w:p w14:paraId="1DFB868C">
      <w:pPr>
        <w:widowControl/>
        <w:numPr>
          <w:ilvl w:val="4"/>
          <w:numId w:val="18"/>
        </w:numPr>
        <w:spacing w:before="156" w:beforeLines="50" w:after="156" w:afterLines="50"/>
        <w:outlineLvl w:val="3"/>
        <w:rPr>
          <w:rFonts w:eastAsia="黑体"/>
          <w:kern w:val="0"/>
          <w:szCs w:val="21"/>
          <w:highlight w:val="none"/>
        </w:rPr>
      </w:pPr>
      <w:r>
        <w:rPr>
          <w:rFonts w:hint="eastAsia" w:eastAsia="黑体"/>
          <w:kern w:val="0"/>
          <w:szCs w:val="21"/>
          <w:highlight w:val="none"/>
        </w:rPr>
        <w:t>物料高度测量</w:t>
      </w:r>
    </w:p>
    <w:p w14:paraId="55657CA1">
      <w:pPr>
        <w:autoSpaceDE w:val="0"/>
        <w:autoSpaceDN w:val="0"/>
        <w:spacing w:line="360" w:lineRule="auto"/>
        <w:ind w:firstLine="420" w:firstLineChars="200"/>
        <w:jc w:val="left"/>
        <w:rPr>
          <w:rFonts w:hint="eastAsia" w:ascii="宋体" w:hAnsi="宋体" w:cs="宋体"/>
          <w:sz w:val="24"/>
          <w:highlight w:val="none"/>
        </w:rPr>
      </w:pPr>
      <w:bookmarkStart w:id="533" w:name="_Toc196323964"/>
      <w:r>
        <w:rPr>
          <w:rFonts w:hint="eastAsia" w:ascii="宋体" w:hAnsi="宋体"/>
          <w:kern w:val="0"/>
          <w:szCs w:val="20"/>
          <w:highlight w:val="none"/>
        </w:rPr>
        <w:t>将上粉机进料、出料通道内所有可调节机构调至设计允许的上极限位置，使用卷尺在通道最小通行空间处测量从输送网带上表面（工作面）至最高阻挡机构下沿的垂直净空高度。</w:t>
      </w:r>
    </w:p>
    <w:bookmarkEnd w:id="533"/>
    <w:p w14:paraId="316B092D">
      <w:pPr>
        <w:widowControl/>
        <w:numPr>
          <w:ilvl w:val="4"/>
          <w:numId w:val="18"/>
        </w:numPr>
        <w:spacing w:before="156" w:beforeLines="50" w:after="156" w:afterLines="50"/>
        <w:outlineLvl w:val="3"/>
        <w:rPr>
          <w:rFonts w:eastAsia="黑体"/>
          <w:kern w:val="0"/>
          <w:szCs w:val="21"/>
          <w:highlight w:val="none"/>
        </w:rPr>
      </w:pPr>
      <w:bookmarkStart w:id="534" w:name="_Toc196241247"/>
      <w:r>
        <w:rPr>
          <w:rFonts w:hint="eastAsia" w:eastAsia="黑体"/>
          <w:kern w:val="0"/>
          <w:szCs w:val="21"/>
          <w:highlight w:val="none"/>
        </w:rPr>
        <w:t>工作噪声</w:t>
      </w:r>
      <w:bookmarkEnd w:id="534"/>
      <w:r>
        <w:rPr>
          <w:rFonts w:hint="eastAsia" w:eastAsia="黑体"/>
          <w:kern w:val="0"/>
          <w:szCs w:val="21"/>
          <w:highlight w:val="none"/>
        </w:rPr>
        <w:t>检测</w:t>
      </w:r>
    </w:p>
    <w:p w14:paraId="724BD145">
      <w:pPr>
        <w:autoSpaceDE w:val="0"/>
        <w:autoSpaceDN w:val="0"/>
        <w:ind w:firstLine="420" w:firstLineChars="200"/>
        <w:rPr>
          <w:rFonts w:hint="eastAsia" w:ascii="宋体" w:hAnsi="宋体" w:cs="宋体"/>
          <w:szCs w:val="21"/>
          <w:highlight w:val="none"/>
        </w:rPr>
      </w:pPr>
      <w:r>
        <w:rPr>
          <w:rFonts w:hint="eastAsia" w:ascii="宋体" w:hAnsi="宋体" w:cs="宋体"/>
          <w:szCs w:val="21"/>
          <w:highlight w:val="none"/>
          <w:lang w:bidi="ar"/>
        </w:rPr>
        <w:t>上粉机正常工作时，按</w:t>
      </w:r>
      <w:r>
        <w:rPr>
          <w:rFonts w:hint="eastAsia" w:ascii="宋体" w:hAnsi="宋体" w:cs="宋体"/>
          <w:color w:val="000000"/>
          <w:szCs w:val="21"/>
          <w:highlight w:val="none"/>
          <w:lang w:bidi="ar"/>
        </w:rPr>
        <w:t>GB/T 3768规定的方法测量</w:t>
      </w:r>
      <w:r>
        <w:rPr>
          <w:rFonts w:hint="eastAsia" w:ascii="宋体" w:hAnsi="宋体" w:cs="宋体"/>
          <w:szCs w:val="21"/>
          <w:highlight w:val="none"/>
          <w:lang w:bidi="ar"/>
        </w:rPr>
        <w:t>工作噪声。</w:t>
      </w:r>
    </w:p>
    <w:p w14:paraId="61A840AC">
      <w:pPr>
        <w:pStyle w:val="173"/>
        <w:numPr>
          <w:ilvl w:val="1"/>
          <w:numId w:val="18"/>
        </w:numPr>
        <w:spacing w:line="240" w:lineRule="auto"/>
        <w:jc w:val="both"/>
        <w:rPr>
          <w:highlight w:val="none"/>
        </w:rPr>
      </w:pPr>
      <w:bookmarkStart w:id="535" w:name="_Toc196238880"/>
      <w:bookmarkStart w:id="536" w:name="_Toc9762"/>
      <w:bookmarkStart w:id="537" w:name="_Toc186914389"/>
      <w:r>
        <w:rPr>
          <w:rFonts w:hint="eastAsia"/>
          <w:highlight w:val="none"/>
        </w:rPr>
        <w:t>检验规则</w:t>
      </w:r>
      <w:bookmarkEnd w:id="535"/>
      <w:bookmarkEnd w:id="536"/>
    </w:p>
    <w:p w14:paraId="0EC5E306">
      <w:pPr>
        <w:widowControl/>
        <w:numPr>
          <w:ilvl w:val="2"/>
          <w:numId w:val="18"/>
        </w:numPr>
        <w:spacing w:before="156" w:beforeLines="50" w:after="156" w:afterLines="50"/>
        <w:outlineLvl w:val="1"/>
        <w:rPr>
          <w:rFonts w:ascii="黑体" w:eastAsia="黑体"/>
          <w:kern w:val="0"/>
          <w:szCs w:val="21"/>
          <w:highlight w:val="none"/>
        </w:rPr>
      </w:pPr>
      <w:bookmarkStart w:id="538" w:name="_Toc196238882"/>
      <w:bookmarkEnd w:id="538"/>
      <w:bookmarkStart w:id="539" w:name="_Toc196238881"/>
      <w:bookmarkEnd w:id="539"/>
      <w:bookmarkStart w:id="540" w:name="_Toc30181"/>
      <w:bookmarkStart w:id="541" w:name="_Toc196238883"/>
      <w:r>
        <w:rPr>
          <w:rFonts w:hint="eastAsia" w:ascii="黑体" w:eastAsia="黑体"/>
          <w:kern w:val="0"/>
          <w:szCs w:val="21"/>
          <w:highlight w:val="none"/>
        </w:rPr>
        <w:t>检验分类</w:t>
      </w:r>
      <w:bookmarkEnd w:id="540"/>
      <w:bookmarkEnd w:id="541"/>
    </w:p>
    <w:p w14:paraId="58A31D2B">
      <w:pPr>
        <w:autoSpaceDE w:val="0"/>
        <w:autoSpaceDN w:val="0"/>
        <w:ind w:firstLine="420" w:firstLineChars="200"/>
        <w:rPr>
          <w:rFonts w:hint="eastAsia" w:ascii="宋体" w:hAnsi="宋体" w:cs="Arial"/>
          <w:kern w:val="0"/>
          <w:szCs w:val="21"/>
          <w:highlight w:val="none"/>
        </w:rPr>
      </w:pPr>
      <w:r>
        <w:rPr>
          <w:rFonts w:hint="eastAsia" w:ascii="宋体" w:hAnsi="宋体" w:cs="Arial"/>
          <w:szCs w:val="21"/>
          <w:highlight w:val="none"/>
          <w:lang w:bidi="ar"/>
        </w:rPr>
        <w:t>上粉机检验类型包括出厂检验和型式检验。</w:t>
      </w:r>
    </w:p>
    <w:p w14:paraId="04A2D91C">
      <w:pPr>
        <w:widowControl/>
        <w:numPr>
          <w:ilvl w:val="2"/>
          <w:numId w:val="18"/>
        </w:numPr>
        <w:spacing w:before="156" w:beforeLines="50" w:after="156" w:afterLines="50"/>
        <w:outlineLvl w:val="1"/>
        <w:rPr>
          <w:rFonts w:ascii="黑体" w:eastAsia="黑体"/>
          <w:kern w:val="0"/>
          <w:szCs w:val="21"/>
          <w:highlight w:val="none"/>
        </w:rPr>
      </w:pPr>
      <w:bookmarkStart w:id="542" w:name="_Toc196238884"/>
      <w:bookmarkStart w:id="543" w:name="_Toc32065"/>
      <w:r>
        <w:rPr>
          <w:rFonts w:hint="eastAsia" w:ascii="黑体" w:eastAsia="黑体"/>
          <w:kern w:val="0"/>
          <w:szCs w:val="21"/>
          <w:highlight w:val="none"/>
        </w:rPr>
        <w:t>出厂检验</w:t>
      </w:r>
      <w:bookmarkEnd w:id="542"/>
      <w:bookmarkEnd w:id="543"/>
    </w:p>
    <w:p w14:paraId="766FBC85">
      <w:pPr>
        <w:numPr>
          <w:ilvl w:val="3"/>
          <w:numId w:val="18"/>
        </w:numPr>
        <w:outlineLvl w:val="2"/>
        <w:rPr>
          <w:rFonts w:hint="eastAsia" w:ascii="宋体" w:hAnsi="宋体" w:cs="宋体"/>
          <w:kern w:val="0"/>
          <w:szCs w:val="21"/>
          <w:highlight w:val="none"/>
        </w:rPr>
      </w:pPr>
      <w:bookmarkStart w:id="544" w:name="_Toc18991"/>
      <w:bookmarkStart w:id="545" w:name="_Toc26622"/>
      <w:bookmarkStart w:id="546" w:name="_Toc234307657"/>
      <w:r>
        <w:rPr>
          <w:rFonts w:hint="eastAsia" w:ascii="宋体" w:hAnsi="宋体" w:cs="宋体"/>
          <w:kern w:val="0"/>
          <w:szCs w:val="21"/>
          <w:highlight w:val="none"/>
        </w:rPr>
        <w:t>检验项目：每台上粉机均应进行出厂检验，检验项目</w:t>
      </w:r>
      <w:r>
        <w:rPr>
          <w:rFonts w:hint="eastAsia" w:ascii="宋体" w:hAnsi="宋体" w:cs="宋体"/>
          <w:szCs w:val="21"/>
          <w:highlight w:val="none"/>
          <w:lang w:bidi="ar"/>
        </w:rPr>
        <w:t>见表2</w:t>
      </w:r>
      <w:r>
        <w:rPr>
          <w:rFonts w:hint="eastAsia" w:ascii="宋体" w:hAnsi="宋体" w:cs="宋体"/>
          <w:kern w:val="0"/>
          <w:szCs w:val="21"/>
          <w:highlight w:val="none"/>
        </w:rPr>
        <w:t>。</w:t>
      </w:r>
      <w:bookmarkEnd w:id="544"/>
      <w:bookmarkEnd w:id="545"/>
      <w:bookmarkEnd w:id="546"/>
    </w:p>
    <w:p w14:paraId="37A020BF">
      <w:pPr>
        <w:pStyle w:val="8"/>
        <w:spacing w:before="0" w:after="0"/>
        <w:jc w:val="center"/>
        <w:rPr>
          <w:rFonts w:hint="eastAsia" w:ascii="黑体" w:hAnsi="黑体" w:cs="黑体"/>
          <w:sz w:val="21"/>
          <w:szCs w:val="21"/>
          <w:highlight w:val="none"/>
        </w:rPr>
      </w:pPr>
      <w:r>
        <w:rPr>
          <w:rFonts w:hint="eastAsia" w:ascii="黑体" w:hAnsi="黑体" w:cs="黑体"/>
          <w:sz w:val="21"/>
          <w:szCs w:val="21"/>
          <w:highlight w:val="none"/>
        </w:rPr>
        <w:t xml:space="preserve">表 </w:t>
      </w:r>
      <w:r>
        <w:rPr>
          <w:rFonts w:hint="eastAsia" w:ascii="黑体" w:hAnsi="黑体" w:cs="黑体"/>
          <w:sz w:val="21"/>
          <w:szCs w:val="21"/>
          <w:highlight w:val="none"/>
        </w:rPr>
        <w:fldChar w:fldCharType="begin"/>
      </w:r>
      <w:r>
        <w:rPr>
          <w:rFonts w:hint="eastAsia" w:ascii="黑体" w:hAnsi="黑体" w:cs="黑体"/>
          <w:sz w:val="21"/>
          <w:szCs w:val="21"/>
          <w:highlight w:val="none"/>
        </w:rPr>
        <w:instrText xml:space="preserve"> SEQ 表 \* ARABIC </w:instrText>
      </w:r>
      <w:r>
        <w:rPr>
          <w:rFonts w:hint="eastAsia" w:ascii="黑体" w:hAnsi="黑体" w:cs="黑体"/>
          <w:sz w:val="21"/>
          <w:szCs w:val="21"/>
          <w:highlight w:val="none"/>
        </w:rPr>
        <w:fldChar w:fldCharType="separate"/>
      </w:r>
      <w:r>
        <w:rPr>
          <w:rFonts w:hint="eastAsia" w:ascii="黑体" w:hAnsi="黑体" w:cs="黑体"/>
          <w:sz w:val="21"/>
          <w:szCs w:val="21"/>
          <w:highlight w:val="none"/>
        </w:rPr>
        <w:t>2</w:t>
      </w:r>
      <w:r>
        <w:rPr>
          <w:rFonts w:hint="eastAsia" w:ascii="黑体" w:hAnsi="黑体" w:cs="黑体"/>
          <w:sz w:val="21"/>
          <w:szCs w:val="21"/>
          <w:highlight w:val="none"/>
        </w:rPr>
        <w:fldChar w:fldCharType="end"/>
      </w:r>
      <w:bookmarkStart w:id="547" w:name="_Toc18407"/>
      <w:r>
        <w:rPr>
          <w:rFonts w:hint="eastAsia" w:ascii="黑体" w:hAnsi="黑体" w:cs="黑体"/>
          <w:sz w:val="21"/>
          <w:szCs w:val="21"/>
          <w:highlight w:val="none"/>
        </w:rPr>
        <w:t xml:space="preserve"> 检验项目</w:t>
      </w:r>
      <w:bookmarkEnd w:id="547"/>
    </w:p>
    <w:tbl>
      <w:tblPr>
        <w:tblStyle w:val="39"/>
        <w:tblW w:w="44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445"/>
        <w:gridCol w:w="2317"/>
        <w:gridCol w:w="1170"/>
        <w:gridCol w:w="1183"/>
        <w:gridCol w:w="1182"/>
        <w:gridCol w:w="1207"/>
      </w:tblGrid>
      <w:tr w14:paraId="11A1D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Merge w:val="restart"/>
            <w:vAlign w:val="center"/>
          </w:tcPr>
          <w:p w14:paraId="1514FE8E">
            <w:pPr>
              <w:jc w:val="center"/>
              <w:rPr>
                <w:rFonts w:hint="eastAsia" w:ascii="宋体" w:hAnsi="宋体" w:cs="宋体"/>
                <w:bCs/>
                <w:sz w:val="18"/>
                <w:szCs w:val="18"/>
                <w:highlight w:val="none"/>
              </w:rPr>
            </w:pPr>
            <w:r>
              <w:rPr>
                <w:rFonts w:hint="eastAsia" w:ascii="宋体" w:hAnsi="宋体" w:cs="宋体"/>
                <w:bCs/>
                <w:sz w:val="18"/>
                <w:szCs w:val="18"/>
                <w:highlight w:val="none"/>
              </w:rPr>
              <w:t>序号</w:t>
            </w:r>
          </w:p>
        </w:tc>
        <w:tc>
          <w:tcPr>
            <w:tcW w:w="1627" w:type="pct"/>
            <w:gridSpan w:val="2"/>
            <w:vMerge w:val="restart"/>
            <w:vAlign w:val="center"/>
          </w:tcPr>
          <w:p w14:paraId="617645C8">
            <w:pPr>
              <w:jc w:val="center"/>
              <w:rPr>
                <w:rFonts w:hint="eastAsia" w:ascii="宋体" w:hAnsi="宋体" w:cs="宋体"/>
                <w:bCs/>
                <w:sz w:val="18"/>
                <w:szCs w:val="18"/>
                <w:highlight w:val="none"/>
              </w:rPr>
            </w:pPr>
            <w:r>
              <w:rPr>
                <w:rFonts w:hint="eastAsia" w:ascii="宋体" w:hAnsi="宋体" w:cs="宋体"/>
                <w:bCs/>
                <w:sz w:val="18"/>
                <w:szCs w:val="18"/>
                <w:highlight w:val="none"/>
              </w:rPr>
              <w:t>检验项目</w:t>
            </w:r>
          </w:p>
        </w:tc>
        <w:tc>
          <w:tcPr>
            <w:tcW w:w="1386" w:type="pct"/>
            <w:gridSpan w:val="2"/>
            <w:vAlign w:val="center"/>
          </w:tcPr>
          <w:p w14:paraId="115FEC57">
            <w:pPr>
              <w:jc w:val="center"/>
              <w:rPr>
                <w:rFonts w:hint="eastAsia" w:ascii="宋体" w:hAnsi="宋体" w:cs="宋体"/>
                <w:bCs/>
                <w:sz w:val="18"/>
                <w:szCs w:val="18"/>
                <w:highlight w:val="none"/>
              </w:rPr>
            </w:pPr>
            <w:r>
              <w:rPr>
                <w:rFonts w:hint="eastAsia" w:ascii="宋体" w:hAnsi="宋体" w:cs="宋体"/>
                <w:bCs/>
                <w:sz w:val="18"/>
                <w:szCs w:val="18"/>
                <w:highlight w:val="none"/>
              </w:rPr>
              <w:t>检验类别</w:t>
            </w:r>
          </w:p>
        </w:tc>
        <w:tc>
          <w:tcPr>
            <w:tcW w:w="696" w:type="pct"/>
            <w:vMerge w:val="restart"/>
            <w:vAlign w:val="center"/>
          </w:tcPr>
          <w:p w14:paraId="27FA818D">
            <w:pPr>
              <w:jc w:val="center"/>
              <w:rPr>
                <w:rFonts w:hint="eastAsia" w:ascii="宋体" w:hAnsi="宋体" w:cs="宋体"/>
                <w:bCs/>
                <w:sz w:val="18"/>
                <w:szCs w:val="18"/>
                <w:highlight w:val="none"/>
              </w:rPr>
            </w:pPr>
            <w:r>
              <w:rPr>
                <w:rFonts w:hint="eastAsia" w:ascii="宋体" w:hAnsi="宋体" w:cs="宋体"/>
                <w:bCs/>
                <w:sz w:val="18"/>
                <w:szCs w:val="18"/>
                <w:highlight w:val="none"/>
              </w:rPr>
              <w:t>要求</w:t>
            </w:r>
          </w:p>
        </w:tc>
        <w:tc>
          <w:tcPr>
            <w:tcW w:w="709" w:type="pct"/>
            <w:vMerge w:val="restart"/>
            <w:vAlign w:val="center"/>
          </w:tcPr>
          <w:p w14:paraId="5048BDB0">
            <w:pPr>
              <w:jc w:val="center"/>
              <w:rPr>
                <w:rFonts w:hint="eastAsia" w:ascii="宋体" w:hAnsi="宋体" w:cs="宋体"/>
                <w:bCs/>
                <w:sz w:val="18"/>
                <w:szCs w:val="18"/>
                <w:highlight w:val="none"/>
              </w:rPr>
            </w:pPr>
            <w:r>
              <w:rPr>
                <w:rFonts w:hint="eastAsia" w:ascii="宋体" w:hAnsi="宋体" w:cs="宋体"/>
                <w:bCs/>
                <w:sz w:val="18"/>
                <w:szCs w:val="18"/>
                <w:highlight w:val="none"/>
              </w:rPr>
              <w:t>检验方法</w:t>
            </w:r>
          </w:p>
        </w:tc>
      </w:tr>
      <w:tr w14:paraId="6FFC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Merge w:val="continue"/>
            <w:vAlign w:val="center"/>
          </w:tcPr>
          <w:p w14:paraId="09A867ED">
            <w:pPr>
              <w:jc w:val="center"/>
              <w:rPr>
                <w:rFonts w:hint="eastAsia" w:ascii="宋体" w:hAnsi="宋体" w:cs="宋体"/>
                <w:bCs/>
                <w:sz w:val="18"/>
                <w:szCs w:val="18"/>
                <w:highlight w:val="none"/>
              </w:rPr>
            </w:pPr>
          </w:p>
        </w:tc>
        <w:tc>
          <w:tcPr>
            <w:tcW w:w="1627" w:type="pct"/>
            <w:gridSpan w:val="2"/>
            <w:vMerge w:val="continue"/>
            <w:vAlign w:val="center"/>
          </w:tcPr>
          <w:p w14:paraId="1CA7AC8B">
            <w:pPr>
              <w:jc w:val="center"/>
              <w:rPr>
                <w:rFonts w:hint="eastAsia" w:ascii="宋体" w:hAnsi="宋体" w:cs="宋体"/>
                <w:bCs/>
                <w:sz w:val="18"/>
                <w:szCs w:val="18"/>
                <w:highlight w:val="none"/>
              </w:rPr>
            </w:pPr>
          </w:p>
        </w:tc>
        <w:tc>
          <w:tcPr>
            <w:tcW w:w="689" w:type="pct"/>
            <w:vAlign w:val="center"/>
          </w:tcPr>
          <w:p w14:paraId="679301DF">
            <w:pPr>
              <w:jc w:val="center"/>
              <w:rPr>
                <w:rFonts w:hint="eastAsia" w:ascii="宋体" w:hAnsi="宋体" w:cs="宋体"/>
                <w:bCs/>
                <w:sz w:val="18"/>
                <w:szCs w:val="18"/>
                <w:highlight w:val="none"/>
              </w:rPr>
            </w:pPr>
            <w:r>
              <w:rPr>
                <w:rFonts w:hint="eastAsia" w:ascii="宋体" w:hAnsi="宋体" w:cs="宋体"/>
                <w:bCs/>
                <w:sz w:val="18"/>
                <w:szCs w:val="18"/>
                <w:highlight w:val="none"/>
              </w:rPr>
              <w:t>出厂检验</w:t>
            </w:r>
          </w:p>
        </w:tc>
        <w:tc>
          <w:tcPr>
            <w:tcW w:w="696" w:type="pct"/>
            <w:vAlign w:val="center"/>
          </w:tcPr>
          <w:p w14:paraId="0DBBBCC1">
            <w:pPr>
              <w:jc w:val="center"/>
              <w:rPr>
                <w:rFonts w:hint="eastAsia" w:ascii="宋体" w:hAnsi="宋体" w:cs="宋体"/>
                <w:bCs/>
                <w:sz w:val="18"/>
                <w:szCs w:val="18"/>
                <w:highlight w:val="none"/>
              </w:rPr>
            </w:pPr>
            <w:r>
              <w:rPr>
                <w:rFonts w:hint="eastAsia" w:ascii="宋体" w:hAnsi="宋体" w:cs="宋体"/>
                <w:bCs/>
                <w:sz w:val="18"/>
                <w:szCs w:val="18"/>
                <w:highlight w:val="none"/>
              </w:rPr>
              <w:t>型式检验</w:t>
            </w:r>
          </w:p>
        </w:tc>
        <w:tc>
          <w:tcPr>
            <w:tcW w:w="696" w:type="pct"/>
            <w:vMerge w:val="continue"/>
            <w:vAlign w:val="center"/>
          </w:tcPr>
          <w:p w14:paraId="7644EB70">
            <w:pPr>
              <w:jc w:val="center"/>
              <w:rPr>
                <w:rFonts w:hint="eastAsia" w:ascii="宋体" w:hAnsi="宋体" w:cs="宋体"/>
                <w:bCs/>
                <w:sz w:val="18"/>
                <w:szCs w:val="18"/>
                <w:highlight w:val="none"/>
              </w:rPr>
            </w:pPr>
          </w:p>
        </w:tc>
        <w:tc>
          <w:tcPr>
            <w:tcW w:w="709" w:type="pct"/>
            <w:vMerge w:val="continue"/>
            <w:vAlign w:val="center"/>
          </w:tcPr>
          <w:p w14:paraId="4D0911C9">
            <w:pPr>
              <w:jc w:val="center"/>
              <w:rPr>
                <w:rFonts w:hint="eastAsia" w:ascii="宋体" w:hAnsi="宋体" w:cs="宋体"/>
                <w:bCs/>
                <w:sz w:val="18"/>
                <w:szCs w:val="18"/>
                <w:highlight w:val="none"/>
              </w:rPr>
            </w:pPr>
          </w:p>
        </w:tc>
      </w:tr>
      <w:tr w14:paraId="1278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38702D25">
            <w:pPr>
              <w:jc w:val="center"/>
              <w:rPr>
                <w:rFonts w:hint="eastAsia" w:ascii="宋体" w:hAnsi="宋体" w:cs="宋体"/>
                <w:bCs/>
                <w:sz w:val="18"/>
                <w:szCs w:val="18"/>
                <w:highlight w:val="none"/>
              </w:rPr>
            </w:pPr>
            <w:r>
              <w:rPr>
                <w:rFonts w:hint="eastAsia" w:ascii="宋体" w:hAnsi="宋体" w:cs="宋体"/>
                <w:bCs/>
                <w:sz w:val="18"/>
                <w:szCs w:val="18"/>
                <w:highlight w:val="none"/>
              </w:rPr>
              <w:t>1</w:t>
            </w:r>
          </w:p>
        </w:tc>
        <w:tc>
          <w:tcPr>
            <w:tcW w:w="1627" w:type="pct"/>
            <w:gridSpan w:val="2"/>
            <w:vAlign w:val="center"/>
          </w:tcPr>
          <w:p w14:paraId="4280B763">
            <w:pPr>
              <w:jc w:val="center"/>
              <w:rPr>
                <w:rFonts w:hint="eastAsia" w:ascii="宋体" w:hAnsi="宋体" w:cs="宋体"/>
                <w:bCs/>
                <w:sz w:val="18"/>
                <w:szCs w:val="18"/>
                <w:highlight w:val="none"/>
              </w:rPr>
            </w:pPr>
            <w:r>
              <w:rPr>
                <w:rFonts w:hint="eastAsia" w:ascii="宋体" w:hAnsi="宋体" w:cs="宋体"/>
                <w:bCs/>
                <w:sz w:val="18"/>
                <w:szCs w:val="18"/>
                <w:highlight w:val="none"/>
              </w:rPr>
              <w:t>材料要求检查</w:t>
            </w:r>
          </w:p>
        </w:tc>
        <w:tc>
          <w:tcPr>
            <w:tcW w:w="689" w:type="pct"/>
            <w:vAlign w:val="center"/>
          </w:tcPr>
          <w:p w14:paraId="5F082DB9">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7CF0D77">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D44605A">
            <w:pPr>
              <w:jc w:val="center"/>
              <w:rPr>
                <w:rFonts w:hint="eastAsia" w:ascii="宋体" w:hAnsi="宋体" w:cs="宋体"/>
                <w:bCs/>
                <w:sz w:val="18"/>
                <w:szCs w:val="18"/>
                <w:highlight w:val="none"/>
              </w:rPr>
            </w:pPr>
            <w:r>
              <w:rPr>
                <w:rFonts w:hint="eastAsia" w:ascii="宋体" w:hAnsi="宋体" w:cs="宋体"/>
                <w:bCs/>
                <w:sz w:val="18"/>
                <w:szCs w:val="18"/>
                <w:highlight w:val="none"/>
              </w:rPr>
              <w:t>5.1</w:t>
            </w:r>
          </w:p>
        </w:tc>
        <w:tc>
          <w:tcPr>
            <w:tcW w:w="709" w:type="pct"/>
            <w:vAlign w:val="center"/>
          </w:tcPr>
          <w:p w14:paraId="03313989">
            <w:pPr>
              <w:jc w:val="center"/>
              <w:rPr>
                <w:rFonts w:hint="eastAsia" w:ascii="宋体" w:hAnsi="宋体" w:cs="宋体"/>
                <w:bCs/>
                <w:sz w:val="18"/>
                <w:szCs w:val="18"/>
                <w:highlight w:val="none"/>
              </w:rPr>
            </w:pPr>
            <w:r>
              <w:rPr>
                <w:rFonts w:hint="eastAsia" w:ascii="宋体" w:hAnsi="宋体" w:cs="宋体"/>
                <w:bCs/>
                <w:sz w:val="18"/>
                <w:szCs w:val="18"/>
                <w:highlight w:val="none"/>
              </w:rPr>
              <w:t>6.2</w:t>
            </w:r>
          </w:p>
        </w:tc>
      </w:tr>
      <w:tr w14:paraId="273B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44F30F12">
            <w:pPr>
              <w:jc w:val="center"/>
              <w:rPr>
                <w:rFonts w:hint="eastAsia" w:ascii="宋体" w:hAnsi="宋体" w:cs="宋体"/>
                <w:bCs/>
                <w:sz w:val="18"/>
                <w:szCs w:val="18"/>
                <w:highlight w:val="none"/>
              </w:rPr>
            </w:pPr>
            <w:r>
              <w:rPr>
                <w:rFonts w:hint="eastAsia" w:ascii="宋体" w:hAnsi="宋体" w:cs="宋体"/>
                <w:bCs/>
                <w:sz w:val="18"/>
                <w:szCs w:val="18"/>
                <w:highlight w:val="none"/>
              </w:rPr>
              <w:t>2</w:t>
            </w:r>
          </w:p>
        </w:tc>
        <w:tc>
          <w:tcPr>
            <w:tcW w:w="1627" w:type="pct"/>
            <w:gridSpan w:val="2"/>
            <w:vAlign w:val="center"/>
          </w:tcPr>
          <w:p w14:paraId="3B95F364">
            <w:pPr>
              <w:jc w:val="center"/>
              <w:rPr>
                <w:rFonts w:hint="eastAsia" w:ascii="宋体" w:hAnsi="宋体" w:cs="宋体"/>
                <w:bCs/>
                <w:sz w:val="18"/>
                <w:szCs w:val="18"/>
                <w:highlight w:val="none"/>
              </w:rPr>
            </w:pPr>
            <w:r>
              <w:rPr>
                <w:rFonts w:hint="eastAsia" w:ascii="宋体" w:hAnsi="宋体" w:cs="宋体"/>
                <w:bCs/>
                <w:sz w:val="18"/>
                <w:szCs w:val="18"/>
                <w:highlight w:val="none"/>
              </w:rPr>
              <w:t>加工要求检查</w:t>
            </w:r>
          </w:p>
        </w:tc>
        <w:tc>
          <w:tcPr>
            <w:tcW w:w="689" w:type="pct"/>
            <w:vAlign w:val="center"/>
          </w:tcPr>
          <w:p w14:paraId="02A7129B">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E817E87">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28DFE00E">
            <w:pPr>
              <w:jc w:val="center"/>
              <w:rPr>
                <w:rFonts w:hint="eastAsia" w:ascii="宋体" w:hAnsi="宋体" w:cs="宋体"/>
                <w:bCs/>
                <w:sz w:val="18"/>
                <w:szCs w:val="18"/>
                <w:highlight w:val="none"/>
              </w:rPr>
            </w:pPr>
            <w:r>
              <w:rPr>
                <w:rFonts w:hint="eastAsia" w:ascii="宋体" w:hAnsi="宋体" w:cs="宋体"/>
                <w:bCs/>
                <w:sz w:val="18"/>
                <w:szCs w:val="18"/>
                <w:highlight w:val="none"/>
              </w:rPr>
              <w:t>5.2</w:t>
            </w:r>
          </w:p>
        </w:tc>
        <w:tc>
          <w:tcPr>
            <w:tcW w:w="709" w:type="pct"/>
            <w:vAlign w:val="center"/>
          </w:tcPr>
          <w:p w14:paraId="2FA34FDB">
            <w:pPr>
              <w:jc w:val="center"/>
              <w:rPr>
                <w:rFonts w:hint="eastAsia" w:ascii="宋体" w:hAnsi="宋体" w:cs="宋体"/>
                <w:bCs/>
                <w:sz w:val="18"/>
                <w:szCs w:val="18"/>
                <w:highlight w:val="none"/>
              </w:rPr>
            </w:pPr>
            <w:r>
              <w:rPr>
                <w:rFonts w:hint="eastAsia" w:ascii="宋体" w:hAnsi="宋体" w:cs="宋体"/>
                <w:bCs/>
                <w:sz w:val="18"/>
                <w:szCs w:val="18"/>
                <w:highlight w:val="none"/>
              </w:rPr>
              <w:t>6.3</w:t>
            </w:r>
          </w:p>
        </w:tc>
      </w:tr>
      <w:tr w14:paraId="523E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27D5AC71">
            <w:pPr>
              <w:jc w:val="center"/>
              <w:rPr>
                <w:rFonts w:hint="eastAsia" w:ascii="宋体" w:hAnsi="宋体" w:cs="宋体"/>
                <w:bCs/>
                <w:sz w:val="18"/>
                <w:szCs w:val="18"/>
                <w:highlight w:val="none"/>
              </w:rPr>
            </w:pPr>
            <w:r>
              <w:rPr>
                <w:rFonts w:hint="eastAsia" w:ascii="宋体" w:hAnsi="宋体" w:cs="宋体"/>
                <w:bCs/>
                <w:sz w:val="18"/>
                <w:szCs w:val="18"/>
                <w:highlight w:val="none"/>
              </w:rPr>
              <w:t>3</w:t>
            </w:r>
          </w:p>
        </w:tc>
        <w:tc>
          <w:tcPr>
            <w:tcW w:w="1627" w:type="pct"/>
            <w:gridSpan w:val="2"/>
            <w:vAlign w:val="center"/>
          </w:tcPr>
          <w:p w14:paraId="4B4529EA">
            <w:pPr>
              <w:jc w:val="center"/>
              <w:rPr>
                <w:rFonts w:hint="eastAsia" w:ascii="宋体" w:hAnsi="宋体" w:cs="宋体"/>
                <w:bCs/>
                <w:sz w:val="18"/>
                <w:szCs w:val="18"/>
                <w:highlight w:val="none"/>
              </w:rPr>
            </w:pPr>
            <w:r>
              <w:rPr>
                <w:rFonts w:hint="eastAsia" w:ascii="宋体" w:hAnsi="宋体" w:cs="宋体"/>
                <w:bCs/>
                <w:sz w:val="18"/>
                <w:szCs w:val="18"/>
                <w:highlight w:val="none"/>
              </w:rPr>
              <w:t>装配要求检查</w:t>
            </w:r>
          </w:p>
        </w:tc>
        <w:tc>
          <w:tcPr>
            <w:tcW w:w="689" w:type="pct"/>
            <w:vAlign w:val="center"/>
          </w:tcPr>
          <w:p w14:paraId="3765DF0F">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A2B0F40">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0F4EB0F">
            <w:pPr>
              <w:jc w:val="center"/>
              <w:rPr>
                <w:rFonts w:hint="eastAsia" w:ascii="宋体" w:hAnsi="宋体" w:cs="宋体"/>
                <w:bCs/>
                <w:sz w:val="18"/>
                <w:szCs w:val="18"/>
                <w:highlight w:val="none"/>
              </w:rPr>
            </w:pPr>
            <w:r>
              <w:rPr>
                <w:rFonts w:hint="eastAsia" w:ascii="宋体" w:hAnsi="宋体" w:cs="宋体"/>
                <w:bCs/>
                <w:sz w:val="18"/>
                <w:szCs w:val="18"/>
                <w:highlight w:val="none"/>
              </w:rPr>
              <w:t>5.3</w:t>
            </w:r>
          </w:p>
        </w:tc>
        <w:tc>
          <w:tcPr>
            <w:tcW w:w="709" w:type="pct"/>
            <w:vAlign w:val="center"/>
          </w:tcPr>
          <w:p w14:paraId="0EEA6C01">
            <w:pPr>
              <w:jc w:val="center"/>
              <w:rPr>
                <w:rFonts w:hint="eastAsia" w:ascii="宋体" w:hAnsi="宋体" w:cs="宋体"/>
                <w:bCs/>
                <w:sz w:val="18"/>
                <w:szCs w:val="18"/>
                <w:highlight w:val="none"/>
              </w:rPr>
            </w:pPr>
            <w:r>
              <w:rPr>
                <w:rFonts w:hint="eastAsia" w:ascii="宋体" w:hAnsi="宋体" w:cs="宋体"/>
                <w:bCs/>
                <w:sz w:val="18"/>
                <w:szCs w:val="18"/>
                <w:highlight w:val="none"/>
              </w:rPr>
              <w:t>6.4</w:t>
            </w:r>
          </w:p>
        </w:tc>
      </w:tr>
      <w:tr w14:paraId="5135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32D5CAE8">
            <w:pPr>
              <w:jc w:val="center"/>
              <w:rPr>
                <w:rFonts w:hint="eastAsia" w:ascii="宋体" w:hAnsi="宋体" w:cs="宋体"/>
                <w:bCs/>
                <w:sz w:val="18"/>
                <w:szCs w:val="18"/>
                <w:highlight w:val="none"/>
              </w:rPr>
            </w:pPr>
            <w:r>
              <w:rPr>
                <w:rFonts w:hint="eastAsia" w:ascii="宋体" w:hAnsi="宋体" w:cs="宋体"/>
                <w:bCs/>
                <w:sz w:val="18"/>
                <w:szCs w:val="18"/>
                <w:highlight w:val="none"/>
              </w:rPr>
              <w:t>4</w:t>
            </w:r>
          </w:p>
        </w:tc>
        <w:tc>
          <w:tcPr>
            <w:tcW w:w="1627" w:type="pct"/>
            <w:gridSpan w:val="2"/>
            <w:vAlign w:val="center"/>
          </w:tcPr>
          <w:p w14:paraId="4ED603CB">
            <w:pPr>
              <w:jc w:val="center"/>
              <w:rPr>
                <w:rFonts w:hint="eastAsia" w:ascii="宋体" w:hAnsi="宋体" w:cs="宋体"/>
                <w:bCs/>
                <w:sz w:val="18"/>
                <w:szCs w:val="18"/>
                <w:highlight w:val="none"/>
              </w:rPr>
            </w:pPr>
            <w:r>
              <w:rPr>
                <w:rFonts w:hint="eastAsia" w:ascii="宋体" w:hAnsi="宋体" w:cs="宋体"/>
                <w:bCs/>
                <w:sz w:val="18"/>
                <w:szCs w:val="18"/>
                <w:highlight w:val="none"/>
              </w:rPr>
              <w:t>主要零部件及系统要求检查</w:t>
            </w:r>
          </w:p>
        </w:tc>
        <w:tc>
          <w:tcPr>
            <w:tcW w:w="689" w:type="pct"/>
            <w:vAlign w:val="center"/>
          </w:tcPr>
          <w:p w14:paraId="035C509A">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078CCCDC">
            <w:pPr>
              <w:jc w:val="center"/>
              <w:rPr>
                <w:rFonts w:hint="eastAsia" w:ascii="宋体" w:hAnsi="宋体" w:cs="宋体"/>
                <w:bCs/>
                <w:strike/>
                <w:sz w:val="18"/>
                <w:szCs w:val="18"/>
                <w:highlight w:val="none"/>
              </w:rPr>
            </w:pPr>
            <w:r>
              <w:rPr>
                <w:rFonts w:hint="eastAsia" w:ascii="宋体" w:hAnsi="宋体" w:cs="宋体"/>
                <w:bCs/>
                <w:sz w:val="18"/>
                <w:szCs w:val="18"/>
                <w:highlight w:val="none"/>
              </w:rPr>
              <w:t>√</w:t>
            </w:r>
          </w:p>
        </w:tc>
        <w:tc>
          <w:tcPr>
            <w:tcW w:w="696" w:type="pct"/>
            <w:vAlign w:val="center"/>
          </w:tcPr>
          <w:p w14:paraId="3F9BCE24">
            <w:pPr>
              <w:jc w:val="center"/>
              <w:rPr>
                <w:rFonts w:hint="eastAsia" w:ascii="宋体" w:hAnsi="宋体" w:cs="宋体"/>
                <w:bCs/>
                <w:sz w:val="18"/>
                <w:szCs w:val="18"/>
                <w:highlight w:val="none"/>
              </w:rPr>
            </w:pPr>
            <w:r>
              <w:rPr>
                <w:rFonts w:hint="eastAsia" w:ascii="宋体" w:hAnsi="宋体" w:cs="宋体"/>
                <w:bCs/>
                <w:sz w:val="18"/>
                <w:szCs w:val="18"/>
                <w:highlight w:val="none"/>
              </w:rPr>
              <w:t>5.4</w:t>
            </w:r>
          </w:p>
        </w:tc>
        <w:tc>
          <w:tcPr>
            <w:tcW w:w="709" w:type="pct"/>
            <w:vAlign w:val="center"/>
          </w:tcPr>
          <w:p w14:paraId="57401A16">
            <w:pPr>
              <w:jc w:val="center"/>
              <w:rPr>
                <w:rFonts w:hint="eastAsia" w:ascii="宋体" w:hAnsi="宋体" w:cs="宋体"/>
                <w:bCs/>
                <w:sz w:val="18"/>
                <w:szCs w:val="18"/>
                <w:highlight w:val="none"/>
              </w:rPr>
            </w:pPr>
            <w:r>
              <w:rPr>
                <w:rFonts w:hint="eastAsia" w:ascii="宋体" w:hAnsi="宋体" w:cs="宋体"/>
                <w:bCs/>
                <w:sz w:val="18"/>
                <w:szCs w:val="18"/>
                <w:highlight w:val="none"/>
              </w:rPr>
              <w:t>6.5</w:t>
            </w:r>
          </w:p>
        </w:tc>
      </w:tr>
      <w:tr w14:paraId="2ABB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11E602D8">
            <w:pPr>
              <w:jc w:val="center"/>
              <w:rPr>
                <w:rFonts w:hint="eastAsia" w:ascii="宋体" w:hAnsi="宋体" w:cs="宋体"/>
                <w:bCs/>
                <w:sz w:val="18"/>
                <w:szCs w:val="18"/>
                <w:highlight w:val="none"/>
              </w:rPr>
            </w:pPr>
            <w:r>
              <w:rPr>
                <w:rFonts w:hint="eastAsia" w:ascii="宋体" w:hAnsi="宋体" w:cs="宋体"/>
                <w:bCs/>
                <w:sz w:val="18"/>
                <w:szCs w:val="18"/>
                <w:highlight w:val="none"/>
              </w:rPr>
              <w:t>6</w:t>
            </w:r>
          </w:p>
        </w:tc>
        <w:tc>
          <w:tcPr>
            <w:tcW w:w="1627" w:type="pct"/>
            <w:gridSpan w:val="2"/>
            <w:vAlign w:val="center"/>
          </w:tcPr>
          <w:p w14:paraId="4007DA2E">
            <w:pPr>
              <w:jc w:val="center"/>
              <w:rPr>
                <w:rFonts w:hint="eastAsia" w:ascii="宋体" w:hAnsi="宋体" w:cs="宋体"/>
                <w:bCs/>
                <w:sz w:val="18"/>
                <w:szCs w:val="18"/>
                <w:highlight w:val="none"/>
              </w:rPr>
            </w:pPr>
            <w:r>
              <w:rPr>
                <w:rFonts w:hint="eastAsia" w:ascii="宋体" w:hAnsi="宋体" w:cs="宋体"/>
                <w:bCs/>
                <w:sz w:val="18"/>
                <w:szCs w:val="18"/>
                <w:highlight w:val="none"/>
              </w:rPr>
              <w:t>卫生安全要求检查</w:t>
            </w:r>
          </w:p>
        </w:tc>
        <w:tc>
          <w:tcPr>
            <w:tcW w:w="689" w:type="pct"/>
            <w:vAlign w:val="center"/>
          </w:tcPr>
          <w:p w14:paraId="0849FC05">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1955EF1C">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10C2CDDB">
            <w:pPr>
              <w:jc w:val="center"/>
              <w:rPr>
                <w:rFonts w:hint="eastAsia" w:ascii="宋体" w:hAnsi="宋体" w:cs="宋体"/>
                <w:bCs/>
                <w:sz w:val="18"/>
                <w:szCs w:val="18"/>
                <w:highlight w:val="none"/>
              </w:rPr>
            </w:pPr>
            <w:r>
              <w:rPr>
                <w:rFonts w:hint="eastAsia" w:ascii="宋体" w:hAnsi="宋体" w:cs="宋体"/>
                <w:bCs/>
                <w:sz w:val="18"/>
                <w:szCs w:val="18"/>
                <w:highlight w:val="none"/>
              </w:rPr>
              <w:t>5.5</w:t>
            </w:r>
          </w:p>
        </w:tc>
        <w:tc>
          <w:tcPr>
            <w:tcW w:w="709" w:type="pct"/>
            <w:vAlign w:val="center"/>
          </w:tcPr>
          <w:p w14:paraId="1C600561">
            <w:pPr>
              <w:jc w:val="center"/>
              <w:rPr>
                <w:rFonts w:hint="eastAsia" w:ascii="宋体" w:hAnsi="宋体" w:cs="宋体"/>
                <w:bCs/>
                <w:sz w:val="18"/>
                <w:szCs w:val="18"/>
                <w:highlight w:val="none"/>
              </w:rPr>
            </w:pPr>
            <w:r>
              <w:rPr>
                <w:rFonts w:hint="eastAsia" w:ascii="宋体" w:hAnsi="宋体" w:cs="宋体"/>
                <w:bCs/>
                <w:sz w:val="18"/>
                <w:szCs w:val="18"/>
                <w:highlight w:val="none"/>
              </w:rPr>
              <w:t>6.6</w:t>
            </w:r>
          </w:p>
        </w:tc>
      </w:tr>
      <w:tr w14:paraId="03BE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686B3039">
            <w:pPr>
              <w:jc w:val="center"/>
              <w:rPr>
                <w:rFonts w:hint="eastAsia" w:ascii="宋体" w:hAnsi="宋体" w:cs="宋体"/>
                <w:bCs/>
                <w:sz w:val="18"/>
                <w:szCs w:val="18"/>
                <w:highlight w:val="none"/>
              </w:rPr>
            </w:pPr>
            <w:r>
              <w:rPr>
                <w:rFonts w:hint="eastAsia" w:ascii="宋体" w:hAnsi="宋体" w:cs="宋体"/>
                <w:bCs/>
                <w:sz w:val="18"/>
                <w:szCs w:val="18"/>
                <w:highlight w:val="none"/>
              </w:rPr>
              <w:t>7</w:t>
            </w:r>
          </w:p>
        </w:tc>
        <w:tc>
          <w:tcPr>
            <w:tcW w:w="1627" w:type="pct"/>
            <w:gridSpan w:val="2"/>
            <w:vAlign w:val="center"/>
          </w:tcPr>
          <w:p w14:paraId="7325EDA5">
            <w:pPr>
              <w:jc w:val="center"/>
              <w:rPr>
                <w:rFonts w:hint="eastAsia" w:ascii="宋体" w:hAnsi="宋体" w:cs="宋体"/>
                <w:bCs/>
                <w:sz w:val="18"/>
                <w:szCs w:val="18"/>
                <w:highlight w:val="none"/>
              </w:rPr>
            </w:pPr>
            <w:r>
              <w:rPr>
                <w:rFonts w:hint="eastAsia" w:ascii="宋体" w:hAnsi="宋体" w:cs="宋体"/>
                <w:bCs/>
                <w:sz w:val="18"/>
                <w:szCs w:val="18"/>
                <w:highlight w:val="none"/>
              </w:rPr>
              <w:t>机械安全要求检查</w:t>
            </w:r>
          </w:p>
        </w:tc>
        <w:tc>
          <w:tcPr>
            <w:tcW w:w="689" w:type="pct"/>
            <w:vAlign w:val="center"/>
          </w:tcPr>
          <w:p w14:paraId="111AC536">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B0C5C3E">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43B9622">
            <w:pPr>
              <w:jc w:val="center"/>
              <w:rPr>
                <w:rFonts w:hint="eastAsia" w:ascii="宋体" w:hAnsi="宋体" w:cs="宋体"/>
                <w:bCs/>
                <w:sz w:val="18"/>
                <w:szCs w:val="18"/>
                <w:highlight w:val="none"/>
              </w:rPr>
            </w:pPr>
            <w:r>
              <w:rPr>
                <w:rFonts w:hint="eastAsia" w:ascii="宋体" w:hAnsi="宋体" w:cs="宋体"/>
                <w:bCs/>
                <w:sz w:val="18"/>
                <w:szCs w:val="18"/>
                <w:highlight w:val="none"/>
              </w:rPr>
              <w:t>5.6</w:t>
            </w:r>
          </w:p>
        </w:tc>
        <w:tc>
          <w:tcPr>
            <w:tcW w:w="709" w:type="pct"/>
            <w:vAlign w:val="center"/>
          </w:tcPr>
          <w:p w14:paraId="6CFB677F">
            <w:pPr>
              <w:jc w:val="center"/>
              <w:rPr>
                <w:rFonts w:hint="eastAsia" w:ascii="宋体" w:hAnsi="宋体" w:cs="宋体"/>
                <w:bCs/>
                <w:sz w:val="18"/>
                <w:szCs w:val="18"/>
                <w:highlight w:val="none"/>
              </w:rPr>
            </w:pPr>
            <w:r>
              <w:rPr>
                <w:rFonts w:hint="eastAsia" w:ascii="宋体" w:hAnsi="宋体" w:cs="宋体"/>
                <w:bCs/>
                <w:sz w:val="18"/>
                <w:szCs w:val="18"/>
                <w:highlight w:val="none"/>
              </w:rPr>
              <w:t>6.7</w:t>
            </w:r>
          </w:p>
        </w:tc>
      </w:tr>
      <w:tr w14:paraId="7AF0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3ABAD52E">
            <w:pPr>
              <w:jc w:val="center"/>
              <w:rPr>
                <w:rFonts w:hint="eastAsia" w:ascii="宋体" w:hAnsi="宋体" w:cs="宋体"/>
                <w:bCs/>
                <w:sz w:val="18"/>
                <w:szCs w:val="18"/>
                <w:highlight w:val="none"/>
              </w:rPr>
            </w:pPr>
            <w:r>
              <w:rPr>
                <w:rFonts w:hint="eastAsia" w:ascii="宋体" w:hAnsi="宋体" w:cs="宋体"/>
                <w:bCs/>
                <w:sz w:val="18"/>
                <w:szCs w:val="18"/>
                <w:highlight w:val="none"/>
              </w:rPr>
              <w:t>8</w:t>
            </w:r>
          </w:p>
        </w:tc>
        <w:tc>
          <w:tcPr>
            <w:tcW w:w="1627" w:type="pct"/>
            <w:gridSpan w:val="2"/>
            <w:vAlign w:val="center"/>
          </w:tcPr>
          <w:p w14:paraId="2C911CC7">
            <w:pPr>
              <w:jc w:val="center"/>
              <w:rPr>
                <w:rFonts w:hint="eastAsia" w:ascii="宋体" w:hAnsi="宋体" w:cs="宋体"/>
                <w:bCs/>
                <w:sz w:val="18"/>
                <w:szCs w:val="18"/>
                <w:highlight w:val="none"/>
              </w:rPr>
            </w:pPr>
            <w:r>
              <w:rPr>
                <w:rFonts w:hint="eastAsia" w:ascii="宋体" w:hAnsi="宋体" w:cs="宋体"/>
                <w:bCs/>
                <w:sz w:val="18"/>
                <w:szCs w:val="18"/>
                <w:highlight w:val="none"/>
              </w:rPr>
              <w:t>电气安全要求检查</w:t>
            </w:r>
          </w:p>
        </w:tc>
        <w:tc>
          <w:tcPr>
            <w:tcW w:w="689" w:type="pct"/>
            <w:vAlign w:val="center"/>
          </w:tcPr>
          <w:p w14:paraId="5609DAAE">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3171DA0">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8D869DA">
            <w:pPr>
              <w:jc w:val="center"/>
              <w:rPr>
                <w:rFonts w:hint="eastAsia" w:ascii="宋体" w:hAnsi="宋体" w:cs="宋体"/>
                <w:bCs/>
                <w:sz w:val="18"/>
                <w:szCs w:val="18"/>
                <w:highlight w:val="none"/>
              </w:rPr>
            </w:pPr>
            <w:r>
              <w:rPr>
                <w:rFonts w:hint="eastAsia" w:ascii="宋体" w:hAnsi="宋体" w:cs="宋体"/>
                <w:bCs/>
                <w:sz w:val="18"/>
                <w:szCs w:val="18"/>
                <w:highlight w:val="none"/>
              </w:rPr>
              <w:t>5.7</w:t>
            </w:r>
          </w:p>
        </w:tc>
        <w:tc>
          <w:tcPr>
            <w:tcW w:w="709" w:type="pct"/>
            <w:vAlign w:val="center"/>
          </w:tcPr>
          <w:p w14:paraId="6161AB28">
            <w:pPr>
              <w:jc w:val="center"/>
              <w:rPr>
                <w:rFonts w:hint="eastAsia" w:ascii="宋体" w:hAnsi="宋体" w:cs="宋体"/>
                <w:bCs/>
                <w:sz w:val="18"/>
                <w:szCs w:val="18"/>
                <w:highlight w:val="none"/>
              </w:rPr>
            </w:pPr>
            <w:r>
              <w:rPr>
                <w:rFonts w:hint="eastAsia" w:ascii="宋体" w:hAnsi="宋体" w:cs="宋体"/>
                <w:bCs/>
                <w:sz w:val="18"/>
                <w:szCs w:val="18"/>
                <w:highlight w:val="none"/>
              </w:rPr>
              <w:t>6.8</w:t>
            </w:r>
          </w:p>
        </w:tc>
      </w:tr>
      <w:tr w14:paraId="23C72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65E2E74C">
            <w:pPr>
              <w:jc w:val="center"/>
              <w:rPr>
                <w:rFonts w:hint="eastAsia" w:ascii="宋体" w:hAnsi="宋体" w:cs="宋体"/>
                <w:bCs/>
                <w:sz w:val="18"/>
                <w:szCs w:val="18"/>
                <w:highlight w:val="none"/>
              </w:rPr>
            </w:pPr>
            <w:r>
              <w:rPr>
                <w:rFonts w:hint="eastAsia" w:ascii="宋体" w:hAnsi="宋体" w:cs="宋体"/>
                <w:bCs/>
                <w:sz w:val="18"/>
                <w:szCs w:val="18"/>
                <w:highlight w:val="none"/>
              </w:rPr>
              <w:t>9</w:t>
            </w:r>
          </w:p>
        </w:tc>
        <w:tc>
          <w:tcPr>
            <w:tcW w:w="1627" w:type="pct"/>
            <w:gridSpan w:val="2"/>
            <w:vAlign w:val="center"/>
          </w:tcPr>
          <w:p w14:paraId="4CD048D1">
            <w:pPr>
              <w:jc w:val="center"/>
              <w:rPr>
                <w:rFonts w:hint="eastAsia" w:ascii="宋体" w:hAnsi="宋体" w:cs="宋体"/>
                <w:bCs/>
                <w:sz w:val="18"/>
                <w:szCs w:val="18"/>
                <w:highlight w:val="none"/>
              </w:rPr>
            </w:pPr>
            <w:r>
              <w:rPr>
                <w:rFonts w:hint="eastAsia" w:ascii="宋体" w:hAnsi="宋体" w:cs="宋体"/>
                <w:bCs/>
                <w:sz w:val="18"/>
                <w:szCs w:val="18"/>
                <w:highlight w:val="none"/>
              </w:rPr>
              <w:t>空载试验</w:t>
            </w:r>
          </w:p>
        </w:tc>
        <w:tc>
          <w:tcPr>
            <w:tcW w:w="689" w:type="pct"/>
            <w:vAlign w:val="center"/>
          </w:tcPr>
          <w:p w14:paraId="6D865D94">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6C0E6EF">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1683584">
            <w:pPr>
              <w:jc w:val="center"/>
              <w:rPr>
                <w:rFonts w:hint="eastAsia" w:ascii="宋体" w:hAnsi="宋体" w:cs="宋体"/>
                <w:bCs/>
                <w:sz w:val="18"/>
                <w:szCs w:val="18"/>
                <w:highlight w:val="none"/>
              </w:rPr>
            </w:pPr>
            <w:r>
              <w:rPr>
                <w:rFonts w:hint="eastAsia" w:ascii="宋体" w:hAnsi="宋体" w:cs="宋体"/>
                <w:bCs/>
                <w:sz w:val="18"/>
                <w:szCs w:val="18"/>
                <w:highlight w:val="none"/>
              </w:rPr>
              <w:t>5.8.1</w:t>
            </w:r>
          </w:p>
        </w:tc>
        <w:tc>
          <w:tcPr>
            <w:tcW w:w="709" w:type="pct"/>
            <w:vAlign w:val="center"/>
          </w:tcPr>
          <w:p w14:paraId="55D9E8DC">
            <w:pPr>
              <w:jc w:val="center"/>
              <w:rPr>
                <w:rFonts w:hint="eastAsia" w:ascii="宋体" w:hAnsi="宋体" w:cs="宋体"/>
                <w:bCs/>
                <w:sz w:val="18"/>
                <w:szCs w:val="18"/>
                <w:highlight w:val="none"/>
              </w:rPr>
            </w:pPr>
            <w:r>
              <w:rPr>
                <w:rFonts w:hint="eastAsia" w:ascii="宋体" w:hAnsi="宋体" w:cs="宋体"/>
                <w:bCs/>
                <w:sz w:val="18"/>
                <w:szCs w:val="18"/>
                <w:highlight w:val="none"/>
              </w:rPr>
              <w:t>6.9.1</w:t>
            </w:r>
          </w:p>
        </w:tc>
      </w:tr>
      <w:tr w14:paraId="373C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2B13FE68">
            <w:pPr>
              <w:jc w:val="center"/>
              <w:rPr>
                <w:rFonts w:hint="eastAsia" w:ascii="宋体" w:hAnsi="宋体" w:cs="宋体"/>
                <w:bCs/>
                <w:sz w:val="18"/>
                <w:szCs w:val="18"/>
                <w:highlight w:val="none"/>
              </w:rPr>
            </w:pPr>
            <w:r>
              <w:rPr>
                <w:rFonts w:hint="eastAsia" w:ascii="宋体" w:hAnsi="宋体" w:cs="宋体"/>
                <w:bCs/>
                <w:sz w:val="18"/>
                <w:szCs w:val="18"/>
                <w:highlight w:val="none"/>
              </w:rPr>
              <w:t>10</w:t>
            </w:r>
          </w:p>
        </w:tc>
        <w:tc>
          <w:tcPr>
            <w:tcW w:w="262" w:type="pct"/>
            <w:vMerge w:val="restart"/>
            <w:vAlign w:val="center"/>
          </w:tcPr>
          <w:p w14:paraId="3913A1FD">
            <w:pPr>
              <w:jc w:val="center"/>
              <w:rPr>
                <w:rFonts w:hint="eastAsia" w:ascii="宋体" w:hAnsi="宋体" w:cs="宋体"/>
                <w:bCs/>
                <w:sz w:val="18"/>
                <w:szCs w:val="18"/>
                <w:highlight w:val="none"/>
              </w:rPr>
            </w:pPr>
            <w:r>
              <w:rPr>
                <w:rFonts w:hint="eastAsia" w:ascii="宋体" w:hAnsi="宋体" w:cs="宋体"/>
                <w:bCs/>
                <w:sz w:val="18"/>
                <w:szCs w:val="18"/>
                <w:highlight w:val="none"/>
              </w:rPr>
              <w:t>负载试验</w:t>
            </w:r>
          </w:p>
        </w:tc>
        <w:tc>
          <w:tcPr>
            <w:tcW w:w="1364" w:type="pct"/>
            <w:vAlign w:val="center"/>
          </w:tcPr>
          <w:p w14:paraId="413A4851">
            <w:pPr>
              <w:jc w:val="center"/>
              <w:rPr>
                <w:rFonts w:hint="eastAsia" w:ascii="宋体" w:hAnsi="宋体" w:cs="宋体"/>
                <w:bCs/>
                <w:sz w:val="18"/>
                <w:szCs w:val="18"/>
                <w:highlight w:val="none"/>
              </w:rPr>
            </w:pPr>
            <w:r>
              <w:rPr>
                <w:rFonts w:hint="eastAsia" w:ascii="宋体" w:hAnsi="宋体" w:cs="宋体"/>
                <w:bCs/>
                <w:sz w:val="18"/>
                <w:szCs w:val="18"/>
                <w:highlight w:val="none"/>
              </w:rPr>
              <w:t>生产能力试验</w:t>
            </w:r>
          </w:p>
        </w:tc>
        <w:tc>
          <w:tcPr>
            <w:tcW w:w="689" w:type="pct"/>
            <w:vAlign w:val="center"/>
          </w:tcPr>
          <w:p w14:paraId="73F52A5B">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1F66EA95">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A4223FB">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666B2375">
            <w:pPr>
              <w:jc w:val="center"/>
              <w:rPr>
                <w:rFonts w:hint="eastAsia" w:ascii="宋体" w:hAnsi="宋体" w:cs="宋体"/>
                <w:bCs/>
                <w:sz w:val="18"/>
                <w:szCs w:val="18"/>
                <w:highlight w:val="none"/>
              </w:rPr>
            </w:pPr>
            <w:r>
              <w:rPr>
                <w:rFonts w:hint="eastAsia" w:ascii="宋体" w:hAnsi="宋体" w:cs="宋体"/>
                <w:bCs/>
                <w:sz w:val="18"/>
                <w:szCs w:val="18"/>
                <w:highlight w:val="none"/>
              </w:rPr>
              <w:t>6.9.2.1</w:t>
            </w:r>
          </w:p>
        </w:tc>
      </w:tr>
      <w:tr w14:paraId="75BB6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18A7CB01">
            <w:pPr>
              <w:jc w:val="center"/>
              <w:rPr>
                <w:rFonts w:hint="eastAsia" w:ascii="宋体" w:hAnsi="宋体" w:cs="宋体"/>
                <w:bCs/>
                <w:sz w:val="18"/>
                <w:szCs w:val="18"/>
                <w:highlight w:val="none"/>
              </w:rPr>
            </w:pPr>
            <w:r>
              <w:rPr>
                <w:rFonts w:hint="eastAsia" w:ascii="宋体" w:hAnsi="宋体" w:cs="宋体"/>
                <w:bCs/>
                <w:sz w:val="18"/>
                <w:szCs w:val="18"/>
                <w:highlight w:val="none"/>
              </w:rPr>
              <w:t>11</w:t>
            </w:r>
          </w:p>
        </w:tc>
        <w:tc>
          <w:tcPr>
            <w:tcW w:w="262" w:type="pct"/>
            <w:vMerge w:val="continue"/>
            <w:vAlign w:val="center"/>
          </w:tcPr>
          <w:p w14:paraId="7823A520">
            <w:pPr>
              <w:jc w:val="center"/>
              <w:rPr>
                <w:rFonts w:hint="eastAsia" w:ascii="宋体" w:hAnsi="宋体" w:cs="宋体"/>
                <w:bCs/>
                <w:sz w:val="18"/>
                <w:szCs w:val="18"/>
                <w:highlight w:val="none"/>
              </w:rPr>
            </w:pPr>
          </w:p>
        </w:tc>
        <w:tc>
          <w:tcPr>
            <w:tcW w:w="1364" w:type="pct"/>
            <w:vAlign w:val="center"/>
          </w:tcPr>
          <w:p w14:paraId="0A82AC92">
            <w:pPr>
              <w:jc w:val="center"/>
              <w:rPr>
                <w:rFonts w:hint="eastAsia" w:ascii="宋体" w:hAnsi="宋体" w:cs="宋体"/>
                <w:bCs/>
                <w:sz w:val="18"/>
                <w:szCs w:val="18"/>
                <w:highlight w:val="none"/>
              </w:rPr>
            </w:pPr>
            <w:r>
              <w:rPr>
                <w:rFonts w:hint="eastAsia" w:ascii="宋体" w:hAnsi="宋体" w:cs="宋体"/>
                <w:bCs/>
                <w:sz w:val="18"/>
                <w:szCs w:val="18"/>
                <w:highlight w:val="none"/>
              </w:rPr>
              <w:t>上粉质量试验</w:t>
            </w:r>
          </w:p>
        </w:tc>
        <w:tc>
          <w:tcPr>
            <w:tcW w:w="689" w:type="pct"/>
            <w:vAlign w:val="center"/>
          </w:tcPr>
          <w:p w14:paraId="52231EE6">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286550CC">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1D96385">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1BCBD51D">
            <w:pPr>
              <w:jc w:val="center"/>
              <w:rPr>
                <w:rFonts w:hint="eastAsia" w:ascii="宋体" w:hAnsi="宋体" w:cs="宋体"/>
                <w:bCs/>
                <w:sz w:val="18"/>
                <w:szCs w:val="18"/>
                <w:highlight w:val="none"/>
              </w:rPr>
            </w:pPr>
            <w:r>
              <w:rPr>
                <w:rFonts w:hint="eastAsia" w:ascii="宋体" w:hAnsi="宋体" w:cs="宋体"/>
                <w:bCs/>
                <w:sz w:val="18"/>
                <w:szCs w:val="18"/>
                <w:highlight w:val="none"/>
              </w:rPr>
              <w:t>6.9.2.2</w:t>
            </w:r>
          </w:p>
        </w:tc>
      </w:tr>
      <w:tr w14:paraId="378D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325D5D3F">
            <w:pPr>
              <w:jc w:val="center"/>
              <w:rPr>
                <w:rFonts w:hint="eastAsia" w:ascii="宋体" w:hAnsi="宋体" w:cs="宋体"/>
                <w:bCs/>
                <w:sz w:val="18"/>
                <w:szCs w:val="18"/>
                <w:highlight w:val="none"/>
              </w:rPr>
            </w:pPr>
            <w:r>
              <w:rPr>
                <w:rFonts w:hint="eastAsia" w:ascii="宋体" w:hAnsi="宋体" w:cs="宋体"/>
                <w:bCs/>
                <w:sz w:val="18"/>
                <w:szCs w:val="18"/>
                <w:highlight w:val="none"/>
              </w:rPr>
              <w:t>12</w:t>
            </w:r>
          </w:p>
        </w:tc>
        <w:tc>
          <w:tcPr>
            <w:tcW w:w="262" w:type="pct"/>
            <w:vMerge w:val="continue"/>
            <w:vAlign w:val="center"/>
          </w:tcPr>
          <w:p w14:paraId="42CF02F1">
            <w:pPr>
              <w:jc w:val="center"/>
              <w:rPr>
                <w:rFonts w:hint="eastAsia" w:ascii="宋体" w:hAnsi="宋体" w:cs="宋体"/>
                <w:bCs/>
                <w:sz w:val="18"/>
                <w:szCs w:val="18"/>
                <w:highlight w:val="none"/>
              </w:rPr>
            </w:pPr>
          </w:p>
        </w:tc>
        <w:tc>
          <w:tcPr>
            <w:tcW w:w="1364" w:type="pct"/>
            <w:vAlign w:val="center"/>
          </w:tcPr>
          <w:p w14:paraId="1AB0B537">
            <w:pPr>
              <w:jc w:val="center"/>
              <w:rPr>
                <w:rFonts w:hint="eastAsia" w:ascii="宋体" w:hAnsi="宋体" w:cs="宋体"/>
                <w:bCs/>
                <w:sz w:val="18"/>
                <w:szCs w:val="18"/>
                <w:highlight w:val="none"/>
              </w:rPr>
            </w:pPr>
            <w:r>
              <w:rPr>
                <w:rFonts w:hint="eastAsia" w:ascii="宋体" w:hAnsi="宋体" w:cs="宋体"/>
                <w:bCs/>
                <w:sz w:val="18"/>
                <w:szCs w:val="18"/>
                <w:highlight w:val="none"/>
              </w:rPr>
              <w:t>网带宽度测量</w:t>
            </w:r>
          </w:p>
        </w:tc>
        <w:tc>
          <w:tcPr>
            <w:tcW w:w="689" w:type="pct"/>
            <w:vAlign w:val="center"/>
          </w:tcPr>
          <w:p w14:paraId="0824B468">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0329C0D1">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73D6CCE4">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127F452A">
            <w:pPr>
              <w:jc w:val="center"/>
              <w:rPr>
                <w:rFonts w:hint="eastAsia" w:ascii="宋体" w:hAnsi="宋体" w:cs="宋体"/>
                <w:bCs/>
                <w:sz w:val="18"/>
                <w:szCs w:val="18"/>
                <w:highlight w:val="none"/>
              </w:rPr>
            </w:pPr>
            <w:r>
              <w:rPr>
                <w:rFonts w:hint="eastAsia" w:ascii="宋体" w:hAnsi="宋体" w:cs="宋体"/>
                <w:bCs/>
                <w:sz w:val="18"/>
                <w:szCs w:val="18"/>
                <w:highlight w:val="none"/>
              </w:rPr>
              <w:t>6.9.2.3</w:t>
            </w:r>
          </w:p>
        </w:tc>
      </w:tr>
      <w:tr w14:paraId="3316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38C13B0F">
            <w:pPr>
              <w:jc w:val="center"/>
              <w:rPr>
                <w:rFonts w:hint="eastAsia" w:ascii="宋体" w:hAnsi="宋体" w:cs="宋体"/>
                <w:bCs/>
                <w:sz w:val="18"/>
                <w:szCs w:val="18"/>
                <w:highlight w:val="none"/>
              </w:rPr>
            </w:pPr>
            <w:r>
              <w:rPr>
                <w:rFonts w:hint="eastAsia" w:ascii="宋体" w:hAnsi="宋体" w:cs="宋体"/>
                <w:bCs/>
                <w:sz w:val="18"/>
                <w:szCs w:val="18"/>
                <w:highlight w:val="none"/>
              </w:rPr>
              <w:t>13</w:t>
            </w:r>
          </w:p>
        </w:tc>
        <w:tc>
          <w:tcPr>
            <w:tcW w:w="262" w:type="pct"/>
            <w:vMerge w:val="continue"/>
            <w:vAlign w:val="center"/>
          </w:tcPr>
          <w:p w14:paraId="68037002">
            <w:pPr>
              <w:jc w:val="center"/>
              <w:rPr>
                <w:rFonts w:hint="eastAsia" w:ascii="宋体" w:hAnsi="宋体" w:cs="宋体"/>
                <w:bCs/>
                <w:sz w:val="18"/>
                <w:szCs w:val="18"/>
                <w:highlight w:val="none"/>
              </w:rPr>
            </w:pPr>
          </w:p>
        </w:tc>
        <w:tc>
          <w:tcPr>
            <w:tcW w:w="1364" w:type="pct"/>
            <w:vAlign w:val="center"/>
          </w:tcPr>
          <w:p w14:paraId="66ECFA74">
            <w:pPr>
              <w:jc w:val="center"/>
              <w:rPr>
                <w:rFonts w:hint="eastAsia" w:ascii="宋体" w:hAnsi="宋体" w:cs="宋体"/>
                <w:bCs/>
                <w:sz w:val="18"/>
                <w:szCs w:val="18"/>
                <w:highlight w:val="none"/>
              </w:rPr>
            </w:pPr>
            <w:r>
              <w:rPr>
                <w:rFonts w:hint="eastAsia" w:ascii="宋体" w:hAnsi="宋体" w:cs="宋体"/>
                <w:bCs/>
                <w:sz w:val="18"/>
                <w:szCs w:val="18"/>
                <w:highlight w:val="none"/>
              </w:rPr>
              <w:t>输送速度试验</w:t>
            </w:r>
          </w:p>
        </w:tc>
        <w:tc>
          <w:tcPr>
            <w:tcW w:w="689" w:type="pct"/>
            <w:vAlign w:val="center"/>
          </w:tcPr>
          <w:p w14:paraId="2C512C67">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1213359">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1BBC58F">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0B96CBD4">
            <w:pPr>
              <w:jc w:val="center"/>
              <w:rPr>
                <w:rFonts w:hint="eastAsia" w:ascii="宋体" w:hAnsi="宋体" w:cs="宋体"/>
                <w:bCs/>
                <w:sz w:val="18"/>
                <w:szCs w:val="18"/>
                <w:highlight w:val="none"/>
              </w:rPr>
            </w:pPr>
            <w:r>
              <w:rPr>
                <w:rFonts w:hint="eastAsia" w:ascii="宋体" w:hAnsi="宋体" w:cs="宋体"/>
                <w:bCs/>
                <w:sz w:val="18"/>
                <w:szCs w:val="18"/>
                <w:highlight w:val="none"/>
              </w:rPr>
              <w:t>6.9.2.4</w:t>
            </w:r>
          </w:p>
        </w:tc>
      </w:tr>
      <w:tr w14:paraId="5689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78725663">
            <w:pPr>
              <w:jc w:val="center"/>
              <w:rPr>
                <w:rFonts w:hint="eastAsia" w:ascii="宋体" w:hAnsi="宋体" w:cs="宋体"/>
                <w:bCs/>
                <w:sz w:val="18"/>
                <w:szCs w:val="18"/>
                <w:highlight w:val="none"/>
              </w:rPr>
            </w:pPr>
            <w:r>
              <w:rPr>
                <w:rFonts w:hint="eastAsia" w:ascii="宋体" w:hAnsi="宋体" w:cs="宋体"/>
                <w:bCs/>
                <w:sz w:val="18"/>
                <w:szCs w:val="18"/>
                <w:highlight w:val="none"/>
              </w:rPr>
              <w:t>14</w:t>
            </w:r>
          </w:p>
        </w:tc>
        <w:tc>
          <w:tcPr>
            <w:tcW w:w="262" w:type="pct"/>
            <w:vMerge w:val="continue"/>
            <w:vAlign w:val="center"/>
          </w:tcPr>
          <w:p w14:paraId="55691477">
            <w:pPr>
              <w:jc w:val="center"/>
              <w:rPr>
                <w:rFonts w:hint="eastAsia" w:ascii="宋体" w:hAnsi="宋体" w:cs="宋体"/>
                <w:bCs/>
                <w:sz w:val="18"/>
                <w:szCs w:val="18"/>
                <w:highlight w:val="none"/>
              </w:rPr>
            </w:pPr>
          </w:p>
        </w:tc>
        <w:tc>
          <w:tcPr>
            <w:tcW w:w="1364" w:type="pct"/>
            <w:vAlign w:val="center"/>
          </w:tcPr>
          <w:p w14:paraId="3B4306DA">
            <w:pPr>
              <w:jc w:val="center"/>
              <w:rPr>
                <w:rFonts w:hint="eastAsia" w:ascii="宋体" w:hAnsi="宋体" w:cs="宋体"/>
                <w:bCs/>
                <w:sz w:val="18"/>
                <w:szCs w:val="18"/>
                <w:highlight w:val="none"/>
              </w:rPr>
            </w:pPr>
            <w:r>
              <w:rPr>
                <w:rFonts w:hint="eastAsia" w:ascii="宋体" w:hAnsi="宋体" w:cs="宋体"/>
                <w:bCs/>
                <w:sz w:val="18"/>
                <w:szCs w:val="18"/>
                <w:highlight w:val="none"/>
              </w:rPr>
              <w:t>速度调节试验</w:t>
            </w:r>
          </w:p>
        </w:tc>
        <w:tc>
          <w:tcPr>
            <w:tcW w:w="689" w:type="pct"/>
            <w:vAlign w:val="center"/>
          </w:tcPr>
          <w:p w14:paraId="156AA912">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7E4E324">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62EAC07B">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62E717CE">
            <w:pPr>
              <w:jc w:val="center"/>
              <w:rPr>
                <w:rFonts w:hint="eastAsia" w:ascii="宋体" w:hAnsi="宋体" w:cs="宋体"/>
                <w:bCs/>
                <w:sz w:val="18"/>
                <w:szCs w:val="18"/>
                <w:highlight w:val="none"/>
              </w:rPr>
            </w:pPr>
            <w:r>
              <w:rPr>
                <w:rFonts w:hint="eastAsia" w:ascii="宋体" w:hAnsi="宋体" w:cs="宋体"/>
                <w:bCs/>
                <w:sz w:val="18"/>
                <w:szCs w:val="18"/>
                <w:highlight w:val="none"/>
              </w:rPr>
              <w:t>6.9.2.5</w:t>
            </w:r>
          </w:p>
        </w:tc>
      </w:tr>
      <w:tr w14:paraId="57FE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689B8DC7">
            <w:pPr>
              <w:jc w:val="center"/>
              <w:rPr>
                <w:rFonts w:hint="eastAsia" w:ascii="宋体" w:hAnsi="宋体" w:cs="宋体"/>
                <w:bCs/>
                <w:sz w:val="18"/>
                <w:szCs w:val="18"/>
                <w:highlight w:val="none"/>
              </w:rPr>
            </w:pPr>
            <w:r>
              <w:rPr>
                <w:rFonts w:hint="eastAsia" w:ascii="宋体" w:hAnsi="宋体" w:cs="宋体"/>
                <w:bCs/>
                <w:sz w:val="18"/>
                <w:szCs w:val="18"/>
                <w:highlight w:val="none"/>
              </w:rPr>
              <w:t>15</w:t>
            </w:r>
          </w:p>
        </w:tc>
        <w:tc>
          <w:tcPr>
            <w:tcW w:w="262" w:type="pct"/>
            <w:vMerge w:val="continue"/>
            <w:vAlign w:val="center"/>
          </w:tcPr>
          <w:p w14:paraId="329AFF95">
            <w:pPr>
              <w:jc w:val="center"/>
              <w:rPr>
                <w:rFonts w:hint="eastAsia" w:ascii="宋体" w:hAnsi="宋体" w:cs="宋体"/>
                <w:bCs/>
                <w:sz w:val="18"/>
                <w:szCs w:val="18"/>
                <w:highlight w:val="none"/>
              </w:rPr>
            </w:pPr>
          </w:p>
        </w:tc>
        <w:tc>
          <w:tcPr>
            <w:tcW w:w="1364" w:type="pct"/>
            <w:vAlign w:val="center"/>
          </w:tcPr>
          <w:p w14:paraId="7F4BCD5E">
            <w:pPr>
              <w:jc w:val="center"/>
              <w:rPr>
                <w:rFonts w:hint="eastAsia" w:ascii="宋体" w:hAnsi="宋体" w:cs="宋体"/>
                <w:bCs/>
                <w:sz w:val="18"/>
                <w:szCs w:val="18"/>
                <w:highlight w:val="none"/>
              </w:rPr>
            </w:pPr>
            <w:r>
              <w:rPr>
                <w:rFonts w:hint="eastAsia" w:ascii="宋体" w:hAnsi="宋体" w:cs="宋体"/>
                <w:bCs/>
                <w:sz w:val="18"/>
                <w:szCs w:val="18"/>
                <w:highlight w:val="none"/>
              </w:rPr>
              <w:t>输入、输出高度测量</w:t>
            </w:r>
          </w:p>
        </w:tc>
        <w:tc>
          <w:tcPr>
            <w:tcW w:w="689" w:type="pct"/>
            <w:vAlign w:val="center"/>
          </w:tcPr>
          <w:p w14:paraId="1A1291FA">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5576DCFD">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C08C674">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07B2233D">
            <w:pPr>
              <w:jc w:val="center"/>
              <w:rPr>
                <w:rFonts w:hint="eastAsia" w:ascii="宋体" w:hAnsi="宋体" w:cs="宋体"/>
                <w:bCs/>
                <w:sz w:val="18"/>
                <w:szCs w:val="18"/>
                <w:highlight w:val="none"/>
              </w:rPr>
            </w:pPr>
            <w:r>
              <w:rPr>
                <w:rFonts w:hint="eastAsia" w:ascii="宋体" w:hAnsi="宋体" w:cs="宋体"/>
                <w:bCs/>
                <w:sz w:val="18"/>
                <w:szCs w:val="18"/>
                <w:highlight w:val="none"/>
              </w:rPr>
              <w:t>6.9.2.6</w:t>
            </w:r>
          </w:p>
        </w:tc>
      </w:tr>
      <w:tr w14:paraId="4ACC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5E3997C9">
            <w:pPr>
              <w:jc w:val="center"/>
              <w:rPr>
                <w:rFonts w:hint="eastAsia" w:ascii="宋体" w:hAnsi="宋体" w:cs="宋体"/>
                <w:bCs/>
                <w:sz w:val="18"/>
                <w:szCs w:val="18"/>
                <w:highlight w:val="none"/>
              </w:rPr>
            </w:pPr>
            <w:r>
              <w:rPr>
                <w:rFonts w:hint="eastAsia" w:ascii="宋体" w:hAnsi="宋体" w:cs="宋体"/>
                <w:bCs/>
                <w:sz w:val="18"/>
                <w:szCs w:val="18"/>
                <w:highlight w:val="none"/>
              </w:rPr>
              <w:t>16</w:t>
            </w:r>
          </w:p>
        </w:tc>
        <w:tc>
          <w:tcPr>
            <w:tcW w:w="262" w:type="pct"/>
            <w:vMerge w:val="continue"/>
            <w:vAlign w:val="center"/>
          </w:tcPr>
          <w:p w14:paraId="6280F340">
            <w:pPr>
              <w:jc w:val="center"/>
              <w:rPr>
                <w:rFonts w:hint="eastAsia" w:ascii="宋体" w:hAnsi="宋体" w:cs="宋体"/>
                <w:bCs/>
                <w:sz w:val="18"/>
                <w:szCs w:val="18"/>
                <w:highlight w:val="none"/>
              </w:rPr>
            </w:pPr>
          </w:p>
        </w:tc>
        <w:tc>
          <w:tcPr>
            <w:tcW w:w="1364" w:type="pct"/>
            <w:vAlign w:val="center"/>
          </w:tcPr>
          <w:p w14:paraId="0800DA69">
            <w:pPr>
              <w:jc w:val="center"/>
              <w:rPr>
                <w:rFonts w:hint="eastAsia" w:ascii="宋体" w:hAnsi="宋体" w:cs="宋体"/>
                <w:bCs/>
                <w:sz w:val="18"/>
                <w:szCs w:val="18"/>
                <w:highlight w:val="none"/>
              </w:rPr>
            </w:pPr>
            <w:r>
              <w:rPr>
                <w:rFonts w:hint="eastAsia" w:ascii="宋体" w:hAnsi="宋体" w:cs="宋体"/>
                <w:bCs/>
                <w:sz w:val="18"/>
                <w:szCs w:val="18"/>
                <w:highlight w:val="none"/>
              </w:rPr>
              <w:t>物料高度测量</w:t>
            </w:r>
          </w:p>
        </w:tc>
        <w:tc>
          <w:tcPr>
            <w:tcW w:w="689" w:type="pct"/>
            <w:vAlign w:val="center"/>
          </w:tcPr>
          <w:p w14:paraId="23C7A0CC">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C7083DB">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437F48EB">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051D297B">
            <w:pPr>
              <w:jc w:val="center"/>
              <w:rPr>
                <w:rFonts w:hint="eastAsia" w:ascii="宋体" w:hAnsi="宋体" w:cs="宋体"/>
                <w:bCs/>
                <w:sz w:val="18"/>
                <w:szCs w:val="18"/>
                <w:highlight w:val="none"/>
              </w:rPr>
            </w:pPr>
            <w:r>
              <w:rPr>
                <w:rFonts w:hint="eastAsia" w:ascii="宋体" w:hAnsi="宋体" w:cs="宋体"/>
                <w:bCs/>
                <w:sz w:val="18"/>
                <w:szCs w:val="18"/>
                <w:highlight w:val="none"/>
              </w:rPr>
              <w:t>6.9.2.7</w:t>
            </w:r>
          </w:p>
        </w:tc>
      </w:tr>
      <w:tr w14:paraId="00DF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348A793C">
            <w:pPr>
              <w:jc w:val="center"/>
              <w:rPr>
                <w:rFonts w:hint="eastAsia" w:ascii="宋体" w:hAnsi="宋体" w:cs="宋体"/>
                <w:bCs/>
                <w:sz w:val="18"/>
                <w:szCs w:val="18"/>
                <w:highlight w:val="none"/>
              </w:rPr>
            </w:pPr>
            <w:r>
              <w:rPr>
                <w:rFonts w:hint="eastAsia" w:ascii="宋体" w:hAnsi="宋体" w:cs="宋体"/>
                <w:bCs/>
                <w:sz w:val="18"/>
                <w:szCs w:val="18"/>
                <w:highlight w:val="none"/>
              </w:rPr>
              <w:t>17</w:t>
            </w:r>
          </w:p>
        </w:tc>
        <w:tc>
          <w:tcPr>
            <w:tcW w:w="262" w:type="pct"/>
            <w:vMerge w:val="continue"/>
            <w:vAlign w:val="center"/>
          </w:tcPr>
          <w:p w14:paraId="3F59BF13">
            <w:pPr>
              <w:jc w:val="center"/>
              <w:rPr>
                <w:rFonts w:hint="eastAsia" w:ascii="宋体" w:hAnsi="宋体" w:cs="宋体"/>
                <w:bCs/>
                <w:sz w:val="18"/>
                <w:szCs w:val="18"/>
                <w:highlight w:val="none"/>
              </w:rPr>
            </w:pPr>
          </w:p>
        </w:tc>
        <w:tc>
          <w:tcPr>
            <w:tcW w:w="1364" w:type="pct"/>
            <w:vAlign w:val="center"/>
          </w:tcPr>
          <w:p w14:paraId="7104124B">
            <w:pPr>
              <w:jc w:val="center"/>
              <w:rPr>
                <w:rFonts w:hint="eastAsia" w:ascii="宋体" w:hAnsi="宋体" w:cs="宋体"/>
                <w:bCs/>
                <w:sz w:val="18"/>
                <w:szCs w:val="18"/>
                <w:highlight w:val="none"/>
              </w:rPr>
            </w:pPr>
            <w:r>
              <w:rPr>
                <w:rFonts w:hint="eastAsia" w:ascii="宋体" w:hAnsi="宋体" w:cs="宋体"/>
                <w:bCs/>
                <w:sz w:val="18"/>
                <w:szCs w:val="18"/>
                <w:highlight w:val="none"/>
              </w:rPr>
              <w:t>工作噪声检测</w:t>
            </w:r>
          </w:p>
        </w:tc>
        <w:tc>
          <w:tcPr>
            <w:tcW w:w="689" w:type="pct"/>
            <w:vAlign w:val="center"/>
          </w:tcPr>
          <w:p w14:paraId="443EB1A5">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3431DE16">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7821AEFB">
            <w:pPr>
              <w:jc w:val="center"/>
              <w:rPr>
                <w:rFonts w:hint="eastAsia" w:ascii="宋体" w:hAnsi="宋体" w:cs="宋体"/>
                <w:bCs/>
                <w:sz w:val="18"/>
                <w:szCs w:val="18"/>
                <w:highlight w:val="none"/>
              </w:rPr>
            </w:pPr>
            <w:r>
              <w:rPr>
                <w:rFonts w:hint="eastAsia" w:ascii="宋体" w:hAnsi="宋体" w:cs="宋体"/>
                <w:bCs/>
                <w:sz w:val="18"/>
                <w:szCs w:val="18"/>
                <w:highlight w:val="none"/>
              </w:rPr>
              <w:t>5.8.2</w:t>
            </w:r>
          </w:p>
        </w:tc>
        <w:tc>
          <w:tcPr>
            <w:tcW w:w="709" w:type="pct"/>
            <w:vAlign w:val="center"/>
          </w:tcPr>
          <w:p w14:paraId="3F42CDD7">
            <w:pPr>
              <w:jc w:val="center"/>
              <w:rPr>
                <w:rFonts w:hint="eastAsia" w:ascii="宋体" w:hAnsi="宋体" w:cs="宋体"/>
                <w:bCs/>
                <w:sz w:val="18"/>
                <w:szCs w:val="18"/>
                <w:highlight w:val="none"/>
              </w:rPr>
            </w:pPr>
            <w:r>
              <w:rPr>
                <w:rFonts w:hint="eastAsia" w:ascii="宋体" w:hAnsi="宋体" w:cs="宋体"/>
                <w:bCs/>
                <w:sz w:val="18"/>
                <w:szCs w:val="18"/>
                <w:highlight w:val="none"/>
              </w:rPr>
              <w:t>6.9.2.8</w:t>
            </w:r>
          </w:p>
        </w:tc>
      </w:tr>
      <w:tr w14:paraId="4D801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1CE1E092">
            <w:pPr>
              <w:jc w:val="center"/>
              <w:rPr>
                <w:rFonts w:hint="eastAsia" w:ascii="宋体" w:hAnsi="宋体" w:cs="宋体"/>
                <w:bCs/>
                <w:sz w:val="18"/>
                <w:szCs w:val="18"/>
                <w:highlight w:val="none"/>
              </w:rPr>
            </w:pPr>
            <w:r>
              <w:rPr>
                <w:rFonts w:hint="eastAsia" w:ascii="宋体" w:hAnsi="宋体" w:cs="宋体"/>
                <w:bCs/>
                <w:sz w:val="18"/>
                <w:szCs w:val="18"/>
                <w:highlight w:val="none"/>
              </w:rPr>
              <w:t>19</w:t>
            </w:r>
          </w:p>
        </w:tc>
        <w:tc>
          <w:tcPr>
            <w:tcW w:w="1627" w:type="pct"/>
            <w:gridSpan w:val="2"/>
            <w:vAlign w:val="center"/>
          </w:tcPr>
          <w:p w14:paraId="2070EF6C">
            <w:pPr>
              <w:jc w:val="center"/>
              <w:rPr>
                <w:rFonts w:hint="eastAsia" w:ascii="宋体" w:hAnsi="宋体" w:cs="宋体"/>
                <w:bCs/>
                <w:sz w:val="18"/>
                <w:szCs w:val="18"/>
                <w:highlight w:val="none"/>
              </w:rPr>
            </w:pPr>
            <w:r>
              <w:rPr>
                <w:rFonts w:hint="eastAsia" w:ascii="宋体" w:hAnsi="宋体" w:cs="宋体"/>
                <w:bCs/>
                <w:sz w:val="18"/>
                <w:szCs w:val="18"/>
                <w:highlight w:val="none"/>
              </w:rPr>
              <w:t>标志检查</w:t>
            </w:r>
          </w:p>
        </w:tc>
        <w:tc>
          <w:tcPr>
            <w:tcW w:w="689" w:type="pct"/>
            <w:vAlign w:val="center"/>
          </w:tcPr>
          <w:p w14:paraId="279DD1EC">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6C8B1818">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2F28529C">
            <w:pPr>
              <w:jc w:val="center"/>
              <w:rPr>
                <w:rFonts w:hint="eastAsia" w:ascii="宋体" w:hAnsi="宋体" w:cs="宋体"/>
                <w:bCs/>
                <w:sz w:val="18"/>
                <w:szCs w:val="18"/>
                <w:highlight w:val="none"/>
              </w:rPr>
            </w:pPr>
            <w:r>
              <w:rPr>
                <w:rFonts w:hint="eastAsia" w:ascii="宋体" w:hAnsi="宋体" w:cs="宋体"/>
                <w:bCs/>
                <w:sz w:val="18"/>
                <w:szCs w:val="18"/>
                <w:highlight w:val="none"/>
              </w:rPr>
              <w:t>8.1</w:t>
            </w:r>
          </w:p>
        </w:tc>
        <w:tc>
          <w:tcPr>
            <w:tcW w:w="709" w:type="pct"/>
            <w:vAlign w:val="center"/>
          </w:tcPr>
          <w:p w14:paraId="38F5EC89">
            <w:pPr>
              <w:jc w:val="center"/>
              <w:rPr>
                <w:rFonts w:hint="eastAsia" w:ascii="宋体" w:hAnsi="宋体" w:cs="宋体"/>
                <w:bCs/>
                <w:sz w:val="18"/>
                <w:szCs w:val="18"/>
                <w:highlight w:val="none"/>
              </w:rPr>
            </w:pPr>
            <w:r>
              <w:rPr>
                <w:rFonts w:hint="eastAsia" w:ascii="宋体" w:hAnsi="宋体" w:cs="宋体"/>
                <w:bCs/>
                <w:sz w:val="18"/>
                <w:szCs w:val="18"/>
                <w:highlight w:val="none"/>
              </w:rPr>
              <w:t>8.1</w:t>
            </w:r>
          </w:p>
        </w:tc>
      </w:tr>
      <w:tr w14:paraId="2B8A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0" w:type="pct"/>
            <w:vAlign w:val="center"/>
          </w:tcPr>
          <w:p w14:paraId="450B71B8">
            <w:pPr>
              <w:jc w:val="center"/>
              <w:rPr>
                <w:rFonts w:hint="eastAsia" w:ascii="宋体" w:hAnsi="宋体" w:cs="宋体"/>
                <w:bCs/>
                <w:sz w:val="18"/>
                <w:szCs w:val="18"/>
                <w:highlight w:val="none"/>
              </w:rPr>
            </w:pPr>
            <w:r>
              <w:rPr>
                <w:rFonts w:hint="eastAsia" w:ascii="宋体" w:hAnsi="宋体" w:cs="宋体"/>
                <w:bCs/>
                <w:sz w:val="18"/>
                <w:szCs w:val="18"/>
                <w:highlight w:val="none"/>
              </w:rPr>
              <w:t>20</w:t>
            </w:r>
          </w:p>
        </w:tc>
        <w:tc>
          <w:tcPr>
            <w:tcW w:w="1627" w:type="pct"/>
            <w:gridSpan w:val="2"/>
            <w:vAlign w:val="center"/>
          </w:tcPr>
          <w:p w14:paraId="63166946">
            <w:pPr>
              <w:jc w:val="center"/>
              <w:rPr>
                <w:rFonts w:hint="eastAsia" w:ascii="宋体" w:hAnsi="宋体" w:cs="宋体"/>
                <w:bCs/>
                <w:sz w:val="18"/>
                <w:szCs w:val="18"/>
                <w:highlight w:val="none"/>
              </w:rPr>
            </w:pPr>
            <w:r>
              <w:rPr>
                <w:rFonts w:hint="eastAsia" w:ascii="宋体" w:hAnsi="宋体" w:cs="宋体"/>
                <w:bCs/>
                <w:sz w:val="18"/>
                <w:szCs w:val="18"/>
                <w:highlight w:val="none"/>
              </w:rPr>
              <w:t>技术文件检查</w:t>
            </w:r>
          </w:p>
        </w:tc>
        <w:tc>
          <w:tcPr>
            <w:tcW w:w="689" w:type="pct"/>
            <w:vAlign w:val="center"/>
          </w:tcPr>
          <w:p w14:paraId="6DD17C91">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18A4B439">
            <w:pPr>
              <w:jc w:val="center"/>
              <w:rPr>
                <w:rFonts w:hint="eastAsia" w:ascii="宋体" w:hAnsi="宋体" w:cs="宋体"/>
                <w:bCs/>
                <w:sz w:val="18"/>
                <w:szCs w:val="18"/>
                <w:highlight w:val="none"/>
              </w:rPr>
            </w:pPr>
            <w:r>
              <w:rPr>
                <w:rFonts w:hint="eastAsia" w:ascii="宋体" w:hAnsi="宋体" w:cs="宋体"/>
                <w:bCs/>
                <w:sz w:val="18"/>
                <w:szCs w:val="18"/>
                <w:highlight w:val="none"/>
              </w:rPr>
              <w:t>√</w:t>
            </w:r>
          </w:p>
        </w:tc>
        <w:tc>
          <w:tcPr>
            <w:tcW w:w="696" w:type="pct"/>
            <w:vAlign w:val="center"/>
          </w:tcPr>
          <w:p w14:paraId="01A2B7C4">
            <w:pPr>
              <w:jc w:val="center"/>
              <w:rPr>
                <w:rFonts w:hint="eastAsia" w:ascii="宋体" w:hAnsi="宋体" w:cs="宋体"/>
                <w:bCs/>
                <w:sz w:val="18"/>
                <w:szCs w:val="18"/>
                <w:highlight w:val="none"/>
              </w:rPr>
            </w:pPr>
            <w:r>
              <w:rPr>
                <w:rFonts w:hint="eastAsia" w:ascii="宋体" w:hAnsi="宋体" w:cs="宋体"/>
                <w:bCs/>
                <w:sz w:val="18"/>
                <w:szCs w:val="18"/>
                <w:highlight w:val="none"/>
              </w:rPr>
              <w:t>8.2.4</w:t>
            </w:r>
          </w:p>
        </w:tc>
        <w:tc>
          <w:tcPr>
            <w:tcW w:w="709" w:type="pct"/>
            <w:vAlign w:val="center"/>
          </w:tcPr>
          <w:p w14:paraId="5A709180">
            <w:pPr>
              <w:jc w:val="center"/>
              <w:rPr>
                <w:rFonts w:hint="eastAsia" w:ascii="宋体" w:hAnsi="宋体" w:cs="宋体"/>
                <w:bCs/>
                <w:sz w:val="18"/>
                <w:szCs w:val="18"/>
                <w:highlight w:val="none"/>
              </w:rPr>
            </w:pPr>
            <w:r>
              <w:rPr>
                <w:rFonts w:hint="eastAsia" w:ascii="宋体" w:hAnsi="宋体" w:cs="宋体"/>
                <w:bCs/>
                <w:sz w:val="18"/>
                <w:szCs w:val="18"/>
                <w:highlight w:val="none"/>
              </w:rPr>
              <w:t>8.2.4</w:t>
            </w:r>
          </w:p>
        </w:tc>
      </w:tr>
      <w:tr w14:paraId="2165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7"/>
            <w:vAlign w:val="center"/>
          </w:tcPr>
          <w:p w14:paraId="03A66462">
            <w:pPr>
              <w:rPr>
                <w:rFonts w:hint="eastAsia" w:ascii="宋体" w:hAnsi="宋体" w:cs="宋体"/>
                <w:bCs/>
                <w:sz w:val="18"/>
                <w:szCs w:val="18"/>
                <w:highlight w:val="none"/>
              </w:rPr>
            </w:pPr>
            <w:r>
              <w:rPr>
                <w:rFonts w:hint="eastAsia" w:ascii="宋体" w:hAnsi="宋体" w:cs="宋体"/>
                <w:bCs/>
                <w:sz w:val="18"/>
                <w:szCs w:val="18"/>
                <w:highlight w:val="none"/>
              </w:rPr>
              <w:t>注：“√”表示检验项目；“—”表示非检验项目。</w:t>
            </w:r>
          </w:p>
        </w:tc>
      </w:tr>
    </w:tbl>
    <w:p w14:paraId="56192CD7">
      <w:pPr>
        <w:numPr>
          <w:ilvl w:val="3"/>
          <w:numId w:val="18"/>
        </w:numPr>
        <w:spacing w:before="156" w:beforeLines="50"/>
        <w:outlineLvl w:val="2"/>
        <w:rPr>
          <w:rFonts w:hint="eastAsia" w:ascii="宋体" w:hAnsi="宋体" w:cs="宋体"/>
          <w:kern w:val="0"/>
          <w:szCs w:val="21"/>
          <w:highlight w:val="none"/>
        </w:rPr>
      </w:pPr>
      <w:bookmarkStart w:id="548" w:name="_Toc139898249"/>
      <w:bookmarkStart w:id="549" w:name="_Toc186914388"/>
      <w:bookmarkStart w:id="550" w:name="_Toc144801494"/>
      <w:bookmarkStart w:id="551" w:name="_Toc139898818"/>
      <w:bookmarkStart w:id="552" w:name="_Toc364"/>
      <w:bookmarkStart w:id="553" w:name="_Toc9619"/>
      <w:bookmarkStart w:id="554" w:name="_Toc234307658"/>
      <w:r>
        <w:rPr>
          <w:rFonts w:hint="eastAsia" w:ascii="宋体" w:hAnsi="宋体" w:cs="宋体"/>
          <w:szCs w:val="21"/>
          <w:highlight w:val="none"/>
          <w:lang w:bidi="ar"/>
        </w:rPr>
        <w:t>判定规则</w:t>
      </w:r>
      <w:bookmarkEnd w:id="548"/>
      <w:bookmarkEnd w:id="549"/>
      <w:bookmarkEnd w:id="550"/>
      <w:bookmarkEnd w:id="551"/>
      <w:r>
        <w:rPr>
          <w:rFonts w:hint="eastAsia" w:ascii="宋体" w:hAnsi="宋体" w:cs="宋体"/>
          <w:szCs w:val="21"/>
          <w:highlight w:val="none"/>
          <w:lang w:bidi="ar"/>
        </w:rPr>
        <w:t>：出厂检验如有不合格项，可修正后复检，复检仍不合格则判定该设备不合格，其中安全性能不准许复检</w:t>
      </w:r>
      <w:r>
        <w:rPr>
          <w:rFonts w:hint="eastAsia" w:ascii="宋体" w:hAnsi="宋体" w:cs="宋体"/>
          <w:kern w:val="0"/>
          <w:szCs w:val="21"/>
          <w:highlight w:val="none"/>
        </w:rPr>
        <w:t>。</w:t>
      </w:r>
      <w:bookmarkEnd w:id="552"/>
      <w:bookmarkEnd w:id="553"/>
      <w:bookmarkEnd w:id="554"/>
    </w:p>
    <w:p w14:paraId="1EDA2A58">
      <w:pPr>
        <w:numPr>
          <w:ilvl w:val="3"/>
          <w:numId w:val="18"/>
        </w:numPr>
        <w:outlineLvl w:val="2"/>
        <w:rPr>
          <w:rFonts w:hint="eastAsia" w:ascii="宋体" w:hAnsi="宋体" w:cs="宋体"/>
          <w:szCs w:val="21"/>
          <w:highlight w:val="none"/>
          <w:lang w:bidi="ar"/>
        </w:rPr>
      </w:pPr>
      <w:bookmarkStart w:id="555" w:name="_Toc19280"/>
      <w:bookmarkStart w:id="556" w:name="_Toc23624"/>
      <w:bookmarkStart w:id="557" w:name="_Toc234307659"/>
      <w:r>
        <w:rPr>
          <w:rFonts w:hint="eastAsia" w:ascii="宋体" w:hAnsi="宋体" w:cs="宋体"/>
          <w:szCs w:val="21"/>
          <w:highlight w:val="none"/>
          <w:lang w:bidi="ar"/>
        </w:rPr>
        <w:t>设备应经过制造厂检验部门检验合格，并签发合格证后方可出厂。</w:t>
      </w:r>
      <w:bookmarkEnd w:id="555"/>
      <w:bookmarkEnd w:id="556"/>
      <w:bookmarkEnd w:id="557"/>
    </w:p>
    <w:p w14:paraId="32973D93">
      <w:pPr>
        <w:widowControl/>
        <w:numPr>
          <w:ilvl w:val="2"/>
          <w:numId w:val="18"/>
        </w:numPr>
        <w:spacing w:before="156" w:beforeLines="50" w:after="156" w:afterLines="50"/>
        <w:outlineLvl w:val="1"/>
        <w:rPr>
          <w:rFonts w:ascii="黑体" w:eastAsia="黑体"/>
          <w:kern w:val="0"/>
          <w:szCs w:val="21"/>
          <w:highlight w:val="none"/>
        </w:rPr>
      </w:pPr>
      <w:bookmarkStart w:id="558" w:name="_Toc30477"/>
      <w:bookmarkStart w:id="559" w:name="_Toc196238885"/>
      <w:r>
        <w:rPr>
          <w:rFonts w:hint="eastAsia" w:ascii="黑体" w:eastAsia="黑体"/>
          <w:kern w:val="0"/>
          <w:szCs w:val="21"/>
          <w:highlight w:val="none"/>
        </w:rPr>
        <w:t>型式检验</w:t>
      </w:r>
      <w:bookmarkEnd w:id="558"/>
      <w:bookmarkEnd w:id="559"/>
    </w:p>
    <w:p w14:paraId="6F21EE71">
      <w:pPr>
        <w:widowControl/>
        <w:numPr>
          <w:ilvl w:val="3"/>
          <w:numId w:val="18"/>
        </w:numPr>
        <w:outlineLvl w:val="2"/>
        <w:rPr>
          <w:rFonts w:hint="eastAsia" w:ascii="宋体" w:hAnsi="宋体" w:cs="宋体"/>
          <w:kern w:val="0"/>
          <w:szCs w:val="21"/>
          <w:highlight w:val="none"/>
        </w:rPr>
      </w:pPr>
      <w:bookmarkStart w:id="560" w:name="_Toc234307661"/>
      <w:bookmarkStart w:id="561" w:name="_Toc27948"/>
      <w:bookmarkStart w:id="562" w:name="_Toc3818"/>
      <w:r>
        <w:rPr>
          <w:rFonts w:hint="eastAsia" w:ascii="宋体" w:hAnsi="宋体" w:cs="宋体"/>
          <w:kern w:val="0"/>
          <w:szCs w:val="21"/>
          <w:highlight w:val="none"/>
        </w:rPr>
        <w:t>有下列情况之一</w:t>
      </w:r>
      <w:r>
        <w:rPr>
          <w:rFonts w:hint="eastAsia"/>
          <w:szCs w:val="21"/>
          <w:highlight w:val="none"/>
          <w:lang w:bidi="ar"/>
        </w:rPr>
        <w:t>时，应对设备进行型式检验</w:t>
      </w:r>
      <w:r>
        <w:rPr>
          <w:rFonts w:hint="eastAsia" w:ascii="宋体" w:hAnsi="宋体" w:cs="宋体"/>
          <w:kern w:val="0"/>
          <w:szCs w:val="21"/>
          <w:highlight w:val="none"/>
        </w:rPr>
        <w:t>：</w:t>
      </w:r>
      <w:bookmarkEnd w:id="560"/>
      <w:bookmarkEnd w:id="561"/>
      <w:bookmarkEnd w:id="562"/>
    </w:p>
    <w:p w14:paraId="03C54E2E">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——正式生产后，</w:t>
      </w:r>
      <w:r>
        <w:rPr>
          <w:rFonts w:hint="eastAsia" w:ascii="宋体" w:hAnsi="宋体" w:cs="宋体"/>
          <w:szCs w:val="20"/>
          <w:highlight w:val="none"/>
          <w:lang w:bidi="ar"/>
        </w:rPr>
        <w:t>结构、材料或工艺等有较大改变，可能影响设备性能时</w:t>
      </w:r>
      <w:r>
        <w:rPr>
          <w:rFonts w:hint="eastAsia" w:ascii="宋体" w:hAnsi="宋体" w:cs="宋体"/>
          <w:kern w:val="0"/>
          <w:szCs w:val="20"/>
          <w:highlight w:val="none"/>
        </w:rPr>
        <w:t>；</w:t>
      </w:r>
    </w:p>
    <w:p w14:paraId="4354E831">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——正常生产条件下，定期或周期性抽查检验时；</w:t>
      </w:r>
    </w:p>
    <w:p w14:paraId="2B5C8375">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——停产一年以上再投产；</w:t>
      </w:r>
    </w:p>
    <w:p w14:paraId="172BE950">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——新产品或老产品转厂生产时；</w:t>
      </w:r>
    </w:p>
    <w:p w14:paraId="0AA25252">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w:t>
      </w:r>
      <w:r>
        <w:rPr>
          <w:rFonts w:hint="eastAsia" w:ascii="宋体" w:hAnsi="宋体" w:cs="宋体"/>
          <w:szCs w:val="20"/>
          <w:highlight w:val="none"/>
          <w:lang w:bidi="ar"/>
        </w:rPr>
        <w:t>国家有关主管部门提出进行型式试验的要求；</w:t>
      </w:r>
    </w:p>
    <w:p w14:paraId="103CC65E">
      <w:pPr>
        <w:widowControl/>
        <w:autoSpaceDE w:val="0"/>
        <w:autoSpaceDN w:val="0"/>
        <w:ind w:left="840" w:leftChars="200" w:hanging="420" w:hangingChars="200"/>
        <w:rPr>
          <w:rFonts w:hint="eastAsia" w:ascii="宋体" w:hAnsi="宋体" w:cs="宋体"/>
          <w:kern w:val="0"/>
          <w:szCs w:val="20"/>
          <w:highlight w:val="none"/>
        </w:rPr>
      </w:pPr>
      <w:r>
        <w:rPr>
          <w:rFonts w:hint="eastAsia" w:ascii="宋体" w:hAnsi="宋体" w:cs="宋体"/>
          <w:kern w:val="0"/>
          <w:szCs w:val="20"/>
          <w:highlight w:val="none"/>
          <w:lang w:bidi="ar"/>
        </w:rPr>
        <w:t>——出厂检验结果与上次型式检验有较大差异时；</w:t>
      </w:r>
    </w:p>
    <w:p w14:paraId="0692CEEE">
      <w:pPr>
        <w:widowControl/>
        <w:autoSpaceDE w:val="0"/>
        <w:autoSpaceDN w:val="0"/>
        <w:ind w:left="840" w:leftChars="200" w:hanging="420" w:hangingChars="200"/>
        <w:rPr>
          <w:rFonts w:hint="eastAsia" w:ascii="宋体" w:hAnsi="宋体" w:cs="宋体"/>
          <w:kern w:val="0"/>
          <w:szCs w:val="20"/>
          <w:highlight w:val="none"/>
        </w:rPr>
      </w:pPr>
      <w:r>
        <w:rPr>
          <w:rFonts w:hint="eastAsia" w:ascii="宋体" w:hAnsi="宋体" w:cs="宋体"/>
          <w:kern w:val="0"/>
          <w:szCs w:val="20"/>
          <w:highlight w:val="none"/>
          <w:lang w:bidi="ar"/>
        </w:rPr>
        <w:t>——使用方有重大问题反馈时；</w:t>
      </w:r>
    </w:p>
    <w:p w14:paraId="49193E94">
      <w:pPr>
        <w:widowControl/>
        <w:autoSpaceDE w:val="0"/>
        <w:autoSpaceDN w:val="0"/>
        <w:ind w:left="840" w:leftChars="200" w:hanging="420" w:hangingChars="200"/>
        <w:rPr>
          <w:rFonts w:hint="eastAsia" w:ascii="宋体" w:hAnsi="宋体" w:cs="宋体"/>
          <w:kern w:val="0"/>
          <w:szCs w:val="20"/>
          <w:highlight w:val="none"/>
        </w:rPr>
      </w:pPr>
      <w:r>
        <w:rPr>
          <w:rFonts w:hint="eastAsia" w:ascii="宋体" w:hAnsi="宋体" w:cs="宋体"/>
          <w:kern w:val="0"/>
          <w:szCs w:val="20"/>
          <w:highlight w:val="none"/>
          <w:lang w:bidi="ar"/>
        </w:rPr>
        <w:t>——正常生产时间满两年。</w:t>
      </w:r>
    </w:p>
    <w:p w14:paraId="68827D7E">
      <w:pPr>
        <w:widowControl/>
        <w:numPr>
          <w:ilvl w:val="3"/>
          <w:numId w:val="18"/>
        </w:numPr>
        <w:outlineLvl w:val="2"/>
        <w:rPr>
          <w:rFonts w:hint="eastAsia" w:ascii="宋体" w:hAnsi="宋体" w:cs="宋体"/>
          <w:kern w:val="0"/>
          <w:szCs w:val="21"/>
          <w:highlight w:val="none"/>
        </w:rPr>
      </w:pPr>
      <w:bookmarkStart w:id="563" w:name="_Toc24645"/>
      <w:bookmarkStart w:id="564" w:name="_Toc20101"/>
      <w:bookmarkStart w:id="565" w:name="_Toc234307662"/>
      <w:r>
        <w:rPr>
          <w:rFonts w:hint="eastAsia" w:ascii="宋体" w:hAnsi="宋体" w:cs="宋体"/>
          <w:kern w:val="0"/>
          <w:szCs w:val="21"/>
          <w:highlight w:val="none"/>
        </w:rPr>
        <w:t>抽样及判定规则：从出厂检验合格的</w:t>
      </w:r>
      <w:r>
        <w:rPr>
          <w:rFonts w:hint="eastAsia" w:ascii="宋体" w:hAnsi="宋体" w:cs="宋体"/>
          <w:highlight w:val="none"/>
        </w:rPr>
        <w:t>上粉机</w:t>
      </w:r>
      <w:r>
        <w:rPr>
          <w:rFonts w:hint="eastAsia" w:ascii="宋体" w:hAnsi="宋体" w:cs="宋体"/>
          <w:kern w:val="0"/>
          <w:szCs w:val="21"/>
          <w:highlight w:val="none"/>
        </w:rPr>
        <w:t>中随机抽样，每次抽样2台。检验项目应按表2要求，全部项目合格则判定型式检验合格；如有不合格项，应加倍抽样，对不合格项进行复检，复检仍不合格，则型式检验不合格，其中安全性能不准许复检。</w:t>
      </w:r>
      <w:bookmarkEnd w:id="563"/>
      <w:bookmarkEnd w:id="564"/>
      <w:bookmarkEnd w:id="565"/>
    </w:p>
    <w:p w14:paraId="711540C8">
      <w:pPr>
        <w:pStyle w:val="173"/>
        <w:numPr>
          <w:ilvl w:val="1"/>
          <w:numId w:val="18"/>
        </w:numPr>
        <w:spacing w:line="240" w:lineRule="auto"/>
        <w:jc w:val="both"/>
        <w:rPr>
          <w:highlight w:val="none"/>
        </w:rPr>
      </w:pPr>
      <w:bookmarkStart w:id="566" w:name="_Toc196238886"/>
      <w:bookmarkStart w:id="567" w:name="_Toc8912"/>
      <w:r>
        <w:rPr>
          <w:rFonts w:hint="eastAsia"/>
          <w:highlight w:val="none"/>
        </w:rPr>
        <w:t>标志、包装、运输和贮存</w:t>
      </w:r>
      <w:bookmarkEnd w:id="566"/>
      <w:bookmarkEnd w:id="567"/>
    </w:p>
    <w:p w14:paraId="57633C14">
      <w:pPr>
        <w:widowControl/>
        <w:numPr>
          <w:ilvl w:val="2"/>
          <w:numId w:val="18"/>
        </w:numPr>
        <w:spacing w:before="156" w:beforeLines="50" w:after="156" w:afterLines="50"/>
        <w:outlineLvl w:val="1"/>
        <w:rPr>
          <w:rFonts w:ascii="黑体" w:eastAsia="黑体"/>
          <w:kern w:val="0"/>
          <w:szCs w:val="21"/>
          <w:highlight w:val="none"/>
        </w:rPr>
      </w:pPr>
      <w:bookmarkStart w:id="568" w:name="_Toc29453"/>
      <w:bookmarkStart w:id="569" w:name="_Toc196238887"/>
      <w:r>
        <w:rPr>
          <w:rFonts w:hint="eastAsia" w:ascii="黑体" w:eastAsia="黑体"/>
          <w:kern w:val="0"/>
          <w:szCs w:val="21"/>
          <w:highlight w:val="none"/>
        </w:rPr>
        <w:t>标志</w:t>
      </w:r>
      <w:bookmarkEnd w:id="568"/>
      <w:bookmarkEnd w:id="569"/>
    </w:p>
    <w:p w14:paraId="1504BC2F">
      <w:pPr>
        <w:ind w:firstLine="420" w:firstLineChars="200"/>
        <w:rPr>
          <w:rFonts w:hint="eastAsia" w:ascii="宋体" w:hAnsi="宋体" w:cs="宋体"/>
          <w:szCs w:val="21"/>
          <w:highlight w:val="none"/>
        </w:rPr>
      </w:pPr>
      <w:r>
        <w:rPr>
          <w:rFonts w:hint="eastAsia" w:ascii="宋体" w:hAnsi="宋体" w:cs="宋体"/>
          <w:szCs w:val="21"/>
          <w:highlight w:val="none"/>
        </w:rPr>
        <w:t>标牌应固定在</w:t>
      </w:r>
      <w:r>
        <w:rPr>
          <w:rFonts w:hint="eastAsia" w:ascii="宋体" w:hAnsi="宋体" w:cs="宋体"/>
          <w:kern w:val="0"/>
          <w:szCs w:val="21"/>
          <w:highlight w:val="none"/>
        </w:rPr>
        <w:t>上粉机</w:t>
      </w:r>
      <w:r>
        <w:rPr>
          <w:rFonts w:hint="eastAsia" w:ascii="宋体" w:hAnsi="宋体" w:cs="宋体"/>
          <w:szCs w:val="21"/>
          <w:highlight w:val="none"/>
        </w:rPr>
        <w:t>的明显位置，标牌的技术要求应符合GB/T 13306的规定。除安全警示标志外，标牌还应包括但不限于下列内容：</w:t>
      </w:r>
    </w:p>
    <w:p w14:paraId="71B426A5">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szCs w:val="21"/>
          <w:highlight w:val="none"/>
        </w:rPr>
        <w:t>—</w:t>
      </w:r>
      <w:r>
        <w:rPr>
          <w:rFonts w:hint="eastAsia" w:ascii="宋体" w:hAnsi="宋体" w:cs="宋体"/>
          <w:kern w:val="0"/>
          <w:szCs w:val="20"/>
          <w:highlight w:val="none"/>
        </w:rPr>
        <w:t>—制造企业名称（商标）；</w:t>
      </w:r>
    </w:p>
    <w:p w14:paraId="273B8466">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——设备名称、型号；</w:t>
      </w:r>
    </w:p>
    <w:p w14:paraId="31530BA8">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——制造日期、出厂编号；</w:t>
      </w:r>
    </w:p>
    <w:p w14:paraId="59F2F443">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——主要技术参数；</w:t>
      </w:r>
    </w:p>
    <w:p w14:paraId="58918C13">
      <w:pPr>
        <w:widowControl/>
        <w:autoSpaceDE w:val="0"/>
        <w:autoSpaceDN w:val="0"/>
        <w:ind w:firstLine="420" w:firstLineChars="200"/>
        <w:rPr>
          <w:rFonts w:hint="eastAsia" w:ascii="宋体" w:hAnsi="宋体" w:cs="宋体"/>
          <w:kern w:val="0"/>
          <w:szCs w:val="20"/>
          <w:highlight w:val="none"/>
        </w:rPr>
      </w:pPr>
      <w:r>
        <w:rPr>
          <w:rFonts w:hint="eastAsia" w:ascii="宋体" w:hAnsi="宋体" w:cs="宋体"/>
          <w:kern w:val="0"/>
          <w:szCs w:val="20"/>
          <w:highlight w:val="none"/>
        </w:rPr>
        <w:t>——设备执行标准编号。</w:t>
      </w:r>
    </w:p>
    <w:p w14:paraId="62B797A8">
      <w:pPr>
        <w:widowControl/>
        <w:numPr>
          <w:ilvl w:val="2"/>
          <w:numId w:val="18"/>
        </w:numPr>
        <w:spacing w:before="156" w:beforeLines="50" w:after="156" w:afterLines="50"/>
        <w:outlineLvl w:val="1"/>
        <w:rPr>
          <w:rFonts w:ascii="黑体" w:eastAsia="黑体"/>
          <w:kern w:val="0"/>
          <w:szCs w:val="21"/>
          <w:highlight w:val="none"/>
        </w:rPr>
      </w:pPr>
      <w:bookmarkStart w:id="570" w:name="_Toc196238891"/>
      <w:bookmarkEnd w:id="570"/>
      <w:bookmarkStart w:id="571" w:name="_Toc196238893"/>
      <w:bookmarkEnd w:id="571"/>
      <w:bookmarkStart w:id="572" w:name="_Toc196238892"/>
      <w:bookmarkEnd w:id="572"/>
      <w:bookmarkStart w:id="573" w:name="_Toc196238889"/>
      <w:bookmarkEnd w:id="573"/>
      <w:bookmarkStart w:id="574" w:name="_Toc196238890"/>
      <w:bookmarkEnd w:id="574"/>
      <w:bookmarkStart w:id="575" w:name="_Toc196238894"/>
      <w:bookmarkEnd w:id="575"/>
      <w:bookmarkStart w:id="576" w:name="_Toc196238888"/>
      <w:bookmarkEnd w:id="576"/>
      <w:bookmarkStart w:id="577" w:name="_Toc196238895"/>
      <w:bookmarkStart w:id="578" w:name="_Toc18346"/>
      <w:r>
        <w:rPr>
          <w:rFonts w:hint="eastAsia" w:ascii="黑体" w:eastAsia="黑体"/>
          <w:kern w:val="0"/>
          <w:szCs w:val="21"/>
          <w:highlight w:val="none"/>
        </w:rPr>
        <w:t>包装</w:t>
      </w:r>
      <w:bookmarkEnd w:id="577"/>
      <w:bookmarkEnd w:id="578"/>
    </w:p>
    <w:p w14:paraId="3841F14E">
      <w:pPr>
        <w:numPr>
          <w:ilvl w:val="3"/>
          <w:numId w:val="18"/>
        </w:numPr>
        <w:outlineLvl w:val="2"/>
        <w:rPr>
          <w:rFonts w:hint="eastAsia" w:ascii="宋体" w:hAnsi="宋体"/>
          <w:kern w:val="0"/>
          <w:szCs w:val="21"/>
          <w:highlight w:val="none"/>
        </w:rPr>
      </w:pPr>
      <w:bookmarkStart w:id="579" w:name="_Toc30696"/>
      <w:bookmarkStart w:id="580" w:name="_Toc4870"/>
      <w:bookmarkStart w:id="581" w:name="_Toc234307666"/>
      <w:r>
        <w:rPr>
          <w:rFonts w:hint="eastAsia"/>
          <w:kern w:val="0"/>
          <w:szCs w:val="21"/>
          <w:highlight w:val="none"/>
        </w:rPr>
        <w:t>上粉机</w:t>
      </w:r>
      <w:r>
        <w:rPr>
          <w:rFonts w:hint="eastAsia" w:ascii="宋体" w:hAnsi="宋体"/>
          <w:kern w:val="0"/>
          <w:szCs w:val="21"/>
          <w:highlight w:val="none"/>
        </w:rPr>
        <w:t>的包装应符合GB/T 13384和SB/T 229的规定。</w:t>
      </w:r>
      <w:bookmarkEnd w:id="579"/>
      <w:bookmarkEnd w:id="580"/>
      <w:bookmarkEnd w:id="581"/>
    </w:p>
    <w:p w14:paraId="54D31F0B">
      <w:pPr>
        <w:numPr>
          <w:ilvl w:val="3"/>
          <w:numId w:val="18"/>
        </w:numPr>
        <w:outlineLvl w:val="2"/>
        <w:rPr>
          <w:rFonts w:hint="eastAsia" w:ascii="宋体" w:hAnsi="宋体"/>
          <w:kern w:val="0"/>
          <w:szCs w:val="21"/>
          <w:highlight w:val="none"/>
        </w:rPr>
      </w:pPr>
      <w:bookmarkStart w:id="582" w:name="_Toc234307667"/>
      <w:bookmarkStart w:id="583" w:name="_Toc26876"/>
      <w:bookmarkStart w:id="584" w:name="_Toc18889"/>
      <w:r>
        <w:rPr>
          <w:rFonts w:hint="eastAsia"/>
          <w:kern w:val="0"/>
          <w:szCs w:val="21"/>
          <w:highlight w:val="none"/>
        </w:rPr>
        <w:t>上粉机</w:t>
      </w:r>
      <w:r>
        <w:rPr>
          <w:rFonts w:hint="eastAsia" w:ascii="宋体" w:hAnsi="宋体"/>
          <w:kern w:val="0"/>
          <w:szCs w:val="21"/>
          <w:highlight w:val="none"/>
        </w:rPr>
        <w:t>包装箱应牢固可靠，适应运输装卸的要求。</w:t>
      </w:r>
      <w:bookmarkEnd w:id="582"/>
      <w:bookmarkEnd w:id="583"/>
      <w:bookmarkEnd w:id="584"/>
    </w:p>
    <w:p w14:paraId="425ABD71">
      <w:pPr>
        <w:numPr>
          <w:ilvl w:val="3"/>
          <w:numId w:val="18"/>
        </w:numPr>
        <w:outlineLvl w:val="2"/>
        <w:rPr>
          <w:rFonts w:hint="eastAsia" w:ascii="宋体" w:hAnsi="宋体"/>
          <w:kern w:val="0"/>
          <w:szCs w:val="21"/>
          <w:highlight w:val="none"/>
        </w:rPr>
      </w:pPr>
      <w:bookmarkStart w:id="585" w:name="_Toc15782"/>
      <w:bookmarkStart w:id="586" w:name="_Toc25495"/>
      <w:bookmarkStart w:id="587" w:name="_Toc234307668"/>
      <w:r>
        <w:rPr>
          <w:rFonts w:hint="eastAsia"/>
          <w:kern w:val="0"/>
          <w:szCs w:val="21"/>
          <w:highlight w:val="none"/>
        </w:rPr>
        <w:t>上粉机</w:t>
      </w:r>
      <w:r>
        <w:rPr>
          <w:rFonts w:hint="eastAsia" w:ascii="宋体" w:hAnsi="宋体"/>
          <w:kern w:val="0"/>
          <w:szCs w:val="21"/>
          <w:highlight w:val="none"/>
        </w:rPr>
        <w:t>包装应有可靠的防湿防潮措施。</w:t>
      </w:r>
      <w:bookmarkEnd w:id="585"/>
      <w:bookmarkEnd w:id="586"/>
      <w:bookmarkEnd w:id="587"/>
    </w:p>
    <w:p w14:paraId="2E2266BA">
      <w:pPr>
        <w:numPr>
          <w:ilvl w:val="3"/>
          <w:numId w:val="18"/>
        </w:numPr>
        <w:outlineLvl w:val="2"/>
        <w:rPr>
          <w:rFonts w:hint="eastAsia" w:ascii="宋体" w:hAnsi="宋体"/>
          <w:kern w:val="0"/>
          <w:szCs w:val="21"/>
          <w:highlight w:val="none"/>
        </w:rPr>
      </w:pPr>
      <w:bookmarkStart w:id="588" w:name="_Toc234307669"/>
      <w:bookmarkStart w:id="589" w:name="_Toc11765"/>
      <w:bookmarkStart w:id="590" w:name="_Toc12689"/>
      <w:r>
        <w:rPr>
          <w:rFonts w:hint="eastAsia"/>
          <w:kern w:val="0"/>
          <w:szCs w:val="21"/>
          <w:highlight w:val="none"/>
        </w:rPr>
        <w:t>上粉机</w:t>
      </w:r>
      <w:r>
        <w:rPr>
          <w:rFonts w:hint="eastAsia" w:ascii="宋体" w:hAnsi="宋体"/>
          <w:kern w:val="0"/>
          <w:szCs w:val="21"/>
          <w:highlight w:val="none"/>
        </w:rPr>
        <w:t>包装内应有装箱单、合格证、使用说明书、必要的随机备件及工具。</w:t>
      </w:r>
      <w:bookmarkEnd w:id="588"/>
      <w:bookmarkEnd w:id="589"/>
      <w:bookmarkEnd w:id="590"/>
    </w:p>
    <w:p w14:paraId="78CBBCC4">
      <w:pPr>
        <w:numPr>
          <w:ilvl w:val="3"/>
          <w:numId w:val="18"/>
        </w:numPr>
        <w:outlineLvl w:val="2"/>
        <w:rPr>
          <w:rFonts w:hint="eastAsia" w:ascii="宋体" w:hAnsi="宋体"/>
          <w:kern w:val="0"/>
          <w:szCs w:val="21"/>
          <w:highlight w:val="none"/>
        </w:rPr>
      </w:pPr>
      <w:bookmarkStart w:id="591" w:name="_Toc24447"/>
      <w:bookmarkStart w:id="592" w:name="_Toc234307670"/>
      <w:bookmarkStart w:id="593" w:name="_Toc30009"/>
      <w:r>
        <w:rPr>
          <w:rFonts w:hint="eastAsia"/>
          <w:kern w:val="0"/>
          <w:szCs w:val="21"/>
          <w:highlight w:val="none"/>
        </w:rPr>
        <w:t>上粉机</w:t>
      </w:r>
      <w:r>
        <w:rPr>
          <w:rFonts w:hint="eastAsia" w:ascii="宋体" w:hAnsi="宋体"/>
          <w:kern w:val="0"/>
          <w:szCs w:val="21"/>
          <w:highlight w:val="none"/>
        </w:rPr>
        <w:t>包装上应标注有“小心轻放”“向上”“防潮”等储运标志，应符合GB/T 191的规定。</w:t>
      </w:r>
      <w:bookmarkEnd w:id="591"/>
      <w:bookmarkEnd w:id="592"/>
      <w:bookmarkEnd w:id="593"/>
    </w:p>
    <w:p w14:paraId="3B15AB2E">
      <w:pPr>
        <w:widowControl/>
        <w:numPr>
          <w:ilvl w:val="2"/>
          <w:numId w:val="18"/>
        </w:numPr>
        <w:spacing w:before="156" w:beforeLines="50" w:after="156" w:afterLines="50"/>
        <w:outlineLvl w:val="1"/>
        <w:rPr>
          <w:rFonts w:ascii="黑体" w:eastAsia="黑体"/>
          <w:kern w:val="0"/>
          <w:szCs w:val="21"/>
          <w:highlight w:val="none"/>
        </w:rPr>
      </w:pPr>
      <w:bookmarkStart w:id="594" w:name="_Toc196238900"/>
      <w:bookmarkEnd w:id="594"/>
      <w:bookmarkStart w:id="595" w:name="_Toc196238898"/>
      <w:bookmarkEnd w:id="595"/>
      <w:bookmarkStart w:id="596" w:name="_Toc196238899"/>
      <w:bookmarkEnd w:id="596"/>
      <w:bookmarkStart w:id="597" w:name="_Toc196238896"/>
      <w:bookmarkEnd w:id="597"/>
      <w:bookmarkStart w:id="598" w:name="_Toc196238897"/>
      <w:bookmarkEnd w:id="598"/>
      <w:bookmarkStart w:id="599" w:name="_Toc4119"/>
      <w:bookmarkStart w:id="600" w:name="_Toc196238901"/>
      <w:r>
        <w:rPr>
          <w:rFonts w:hint="eastAsia" w:ascii="黑体" w:eastAsia="黑体"/>
          <w:kern w:val="0"/>
          <w:szCs w:val="21"/>
          <w:highlight w:val="none"/>
        </w:rPr>
        <w:t>运输</w:t>
      </w:r>
      <w:bookmarkEnd w:id="599"/>
      <w:bookmarkEnd w:id="600"/>
    </w:p>
    <w:p w14:paraId="4954E6D7">
      <w:pPr>
        <w:numPr>
          <w:ilvl w:val="3"/>
          <w:numId w:val="18"/>
        </w:numPr>
        <w:outlineLvl w:val="2"/>
        <w:rPr>
          <w:rFonts w:hint="eastAsia" w:ascii="宋体" w:hAnsi="宋体"/>
          <w:kern w:val="0"/>
          <w:szCs w:val="21"/>
          <w:highlight w:val="none"/>
        </w:rPr>
      </w:pPr>
      <w:bookmarkStart w:id="601" w:name="_Toc234307672"/>
      <w:bookmarkStart w:id="602" w:name="_Toc5854"/>
      <w:bookmarkStart w:id="603" w:name="_Toc2261"/>
      <w:r>
        <w:rPr>
          <w:rFonts w:hint="eastAsia" w:ascii="宋体" w:hAnsi="宋体"/>
          <w:kern w:val="0"/>
          <w:szCs w:val="21"/>
          <w:highlight w:val="none"/>
        </w:rPr>
        <w:t>上粉机运输时应有防雨措施，不应与有毒有害及有腐蚀性的物品一起运输。</w:t>
      </w:r>
      <w:bookmarkEnd w:id="601"/>
      <w:bookmarkEnd w:id="602"/>
      <w:bookmarkEnd w:id="603"/>
    </w:p>
    <w:p w14:paraId="5928ABDB">
      <w:pPr>
        <w:numPr>
          <w:ilvl w:val="3"/>
          <w:numId w:val="18"/>
        </w:numPr>
        <w:outlineLvl w:val="2"/>
        <w:rPr>
          <w:rFonts w:hint="eastAsia" w:ascii="宋体" w:hAnsi="宋体"/>
          <w:kern w:val="0"/>
          <w:szCs w:val="21"/>
          <w:highlight w:val="none"/>
        </w:rPr>
      </w:pPr>
      <w:bookmarkStart w:id="604" w:name="_Toc11997"/>
      <w:bookmarkStart w:id="605" w:name="_Toc4596"/>
      <w:bookmarkStart w:id="606" w:name="_Toc234307673"/>
      <w:r>
        <w:rPr>
          <w:rFonts w:hint="eastAsia" w:ascii="宋体" w:hAnsi="宋体"/>
          <w:kern w:val="0"/>
          <w:szCs w:val="21"/>
          <w:highlight w:val="none"/>
        </w:rPr>
        <w:t>上粉机搬运时严禁碰撞，不应损坏设备。</w:t>
      </w:r>
      <w:bookmarkEnd w:id="604"/>
      <w:bookmarkEnd w:id="605"/>
      <w:bookmarkEnd w:id="606"/>
    </w:p>
    <w:p w14:paraId="0855E407">
      <w:pPr>
        <w:numPr>
          <w:ilvl w:val="3"/>
          <w:numId w:val="18"/>
        </w:numPr>
        <w:outlineLvl w:val="2"/>
        <w:rPr>
          <w:rFonts w:hint="eastAsia" w:ascii="宋体" w:hAnsi="宋体"/>
          <w:kern w:val="0"/>
          <w:szCs w:val="21"/>
          <w:highlight w:val="none"/>
        </w:rPr>
      </w:pPr>
      <w:bookmarkStart w:id="607" w:name="_Toc2697"/>
      <w:bookmarkStart w:id="608" w:name="_Toc9153"/>
      <w:bookmarkStart w:id="609" w:name="_Toc234307674"/>
      <w:r>
        <w:rPr>
          <w:rFonts w:hint="eastAsia" w:ascii="宋体" w:hAnsi="宋体"/>
          <w:kern w:val="0"/>
          <w:szCs w:val="21"/>
          <w:highlight w:val="none"/>
        </w:rPr>
        <w:t>上粉机应按包装箱上的指定朝向置于运输工具上。</w:t>
      </w:r>
      <w:bookmarkEnd w:id="607"/>
      <w:bookmarkEnd w:id="608"/>
      <w:bookmarkEnd w:id="609"/>
    </w:p>
    <w:p w14:paraId="6219907F">
      <w:pPr>
        <w:numPr>
          <w:ilvl w:val="3"/>
          <w:numId w:val="18"/>
        </w:numPr>
        <w:outlineLvl w:val="2"/>
        <w:rPr>
          <w:rFonts w:hint="eastAsia" w:ascii="宋体" w:hAnsi="宋体"/>
          <w:kern w:val="0"/>
          <w:szCs w:val="21"/>
          <w:highlight w:val="none"/>
        </w:rPr>
      </w:pPr>
      <w:bookmarkStart w:id="610" w:name="_Toc234307675"/>
      <w:bookmarkStart w:id="611" w:name="_Toc11446"/>
      <w:bookmarkStart w:id="612" w:name="_Toc4433"/>
      <w:r>
        <w:rPr>
          <w:rFonts w:hint="eastAsia" w:ascii="宋体" w:hAnsi="宋体"/>
          <w:kern w:val="0"/>
          <w:szCs w:val="21"/>
          <w:highlight w:val="none"/>
        </w:rPr>
        <w:t>吊装工具不应与上粉机表面接触刮擦，应小心轻放，避免倾翻。</w:t>
      </w:r>
      <w:bookmarkEnd w:id="610"/>
      <w:bookmarkEnd w:id="611"/>
      <w:bookmarkEnd w:id="612"/>
    </w:p>
    <w:p w14:paraId="09C93B92">
      <w:pPr>
        <w:numPr>
          <w:ilvl w:val="3"/>
          <w:numId w:val="18"/>
        </w:numPr>
        <w:outlineLvl w:val="2"/>
        <w:rPr>
          <w:highlight w:val="none"/>
        </w:rPr>
      </w:pPr>
      <w:bookmarkStart w:id="613" w:name="_Toc1548"/>
      <w:bookmarkStart w:id="614" w:name="_Toc8297"/>
      <w:bookmarkStart w:id="615" w:name="_Toc234307676"/>
      <w:r>
        <w:rPr>
          <w:rFonts w:hint="eastAsia" w:ascii="宋体" w:hAnsi="宋体"/>
          <w:kern w:val="0"/>
          <w:szCs w:val="21"/>
          <w:highlight w:val="none"/>
        </w:rPr>
        <w:t>上粉机在运输过程中，应固定牢固，不应产生滑动、碰撞。</w:t>
      </w:r>
      <w:bookmarkEnd w:id="613"/>
      <w:bookmarkEnd w:id="614"/>
      <w:bookmarkEnd w:id="615"/>
    </w:p>
    <w:p w14:paraId="07FF04F1">
      <w:pPr>
        <w:widowControl/>
        <w:numPr>
          <w:ilvl w:val="2"/>
          <w:numId w:val="18"/>
        </w:numPr>
        <w:spacing w:before="156" w:beforeLines="50" w:after="156" w:afterLines="50"/>
        <w:outlineLvl w:val="1"/>
        <w:rPr>
          <w:rFonts w:ascii="黑体" w:eastAsia="黑体"/>
          <w:kern w:val="0"/>
          <w:szCs w:val="21"/>
          <w:highlight w:val="none"/>
        </w:rPr>
      </w:pPr>
      <w:bookmarkStart w:id="616" w:name="_Toc27067"/>
      <w:bookmarkStart w:id="617" w:name="_Toc196238902"/>
      <w:r>
        <w:rPr>
          <w:rFonts w:hint="eastAsia" w:ascii="黑体" w:eastAsia="黑体"/>
          <w:kern w:val="0"/>
          <w:szCs w:val="21"/>
          <w:highlight w:val="none"/>
        </w:rPr>
        <w:t>贮存</w:t>
      </w:r>
      <w:bookmarkEnd w:id="616"/>
      <w:bookmarkEnd w:id="617"/>
    </w:p>
    <w:p w14:paraId="5D6D4E2B">
      <w:pPr>
        <w:numPr>
          <w:ilvl w:val="3"/>
          <w:numId w:val="18"/>
        </w:numPr>
        <w:outlineLvl w:val="2"/>
        <w:rPr>
          <w:rFonts w:hint="eastAsia" w:ascii="宋体" w:hAnsi="宋体"/>
          <w:kern w:val="0"/>
          <w:szCs w:val="21"/>
          <w:highlight w:val="none"/>
        </w:rPr>
      </w:pPr>
      <w:bookmarkStart w:id="618" w:name="_Toc28705"/>
      <w:bookmarkStart w:id="619" w:name="_Toc3706"/>
      <w:bookmarkStart w:id="620" w:name="_Toc234307678"/>
      <w:r>
        <w:rPr>
          <w:rFonts w:hint="eastAsia" w:ascii="宋体" w:hAnsi="宋体"/>
          <w:kern w:val="0"/>
          <w:szCs w:val="21"/>
          <w:highlight w:val="none"/>
        </w:rPr>
        <w:t>上粉机应贮存在通风、清洁、阴凉和干燥的场所，远离热源和污染源，严禁与有害物品（易燃、易爆和腐蚀性等）混放。</w:t>
      </w:r>
      <w:bookmarkEnd w:id="618"/>
      <w:bookmarkEnd w:id="619"/>
      <w:bookmarkEnd w:id="620"/>
    </w:p>
    <w:p w14:paraId="455C9F70">
      <w:pPr>
        <w:numPr>
          <w:ilvl w:val="3"/>
          <w:numId w:val="18"/>
        </w:numPr>
        <w:outlineLvl w:val="2"/>
        <w:rPr>
          <w:highlight w:val="none"/>
        </w:rPr>
      </w:pPr>
      <w:bookmarkStart w:id="621" w:name="_Toc2246"/>
      <w:bookmarkStart w:id="622" w:name="_Toc234307679"/>
      <w:bookmarkStart w:id="623" w:name="_Toc9034"/>
      <w:r>
        <w:rPr>
          <w:rFonts w:hint="eastAsia" w:ascii="宋体" w:hAnsi="宋体"/>
          <w:kern w:val="0"/>
          <w:szCs w:val="21"/>
          <w:highlight w:val="none"/>
        </w:rPr>
        <w:t>正常储运</w:t>
      </w:r>
      <w:r>
        <w:rPr>
          <w:rFonts w:hint="eastAsia"/>
          <w:kern w:val="0"/>
          <w:szCs w:val="21"/>
          <w:highlight w:val="none"/>
        </w:rPr>
        <w:t>条件</w:t>
      </w:r>
      <w:r>
        <w:rPr>
          <w:rFonts w:hint="eastAsia" w:ascii="宋体" w:hAnsi="宋体"/>
          <w:kern w:val="0"/>
          <w:szCs w:val="21"/>
          <w:highlight w:val="none"/>
        </w:rPr>
        <w:t>下</w:t>
      </w:r>
      <w:bookmarkEnd w:id="537"/>
      <w:r>
        <w:rPr>
          <w:rFonts w:hint="eastAsia" w:ascii="宋体" w:hAnsi="宋体"/>
          <w:kern w:val="0"/>
          <w:szCs w:val="21"/>
          <w:highlight w:val="none"/>
        </w:rPr>
        <w:t>，设备</w:t>
      </w:r>
      <w:r>
        <w:rPr>
          <w:rFonts w:hint="eastAsia" w:ascii="宋体" w:hAnsi="宋体" w:cs="宋体"/>
          <w:szCs w:val="21"/>
          <w:highlight w:val="none"/>
          <w:lang w:bidi="ar"/>
        </w:rPr>
        <w:t>自出厂之日起12个月内，不应因包装储存不当引起锈蚀、霉损等</w:t>
      </w:r>
      <w:r>
        <w:rPr>
          <w:rFonts w:hint="eastAsia" w:ascii="宋体" w:hAnsi="宋体"/>
          <w:kern w:val="0"/>
          <w:szCs w:val="21"/>
          <w:highlight w:val="none"/>
        </w:rPr>
        <w:t>。</w:t>
      </w:r>
      <w:bookmarkEnd w:id="621"/>
      <w:bookmarkEnd w:id="622"/>
      <w:bookmarkEnd w:id="623"/>
    </w:p>
    <w:p w14:paraId="0D5D6109">
      <w:pPr>
        <w:pStyle w:val="2"/>
        <w:rPr>
          <w:rFonts w:hint="eastAsia" w:ascii="宋体" w:hAnsi="宋体"/>
          <w:kern w:val="0"/>
          <w:szCs w:val="21"/>
          <w:highlight w:val="none"/>
        </w:rPr>
      </w:pPr>
    </w:p>
    <w:p w14:paraId="52604579">
      <w:pPr>
        <w:pStyle w:val="2"/>
        <w:rPr>
          <w:rFonts w:hint="eastAsia" w:ascii="宋体" w:hAnsi="宋体"/>
          <w:kern w:val="0"/>
          <w:szCs w:val="21"/>
          <w:highlight w:val="none"/>
        </w:rPr>
      </w:pPr>
    </w:p>
    <w:p w14:paraId="52561D6E">
      <w:pPr>
        <w:pStyle w:val="2"/>
        <w:rPr>
          <w:rFonts w:hint="eastAsia" w:ascii="宋体" w:hAnsi="宋体"/>
          <w:kern w:val="0"/>
          <w:szCs w:val="21"/>
          <w:highlight w:val="none"/>
        </w:rPr>
      </w:pPr>
      <w:r>
        <w:rPr>
          <w:rFonts w:ascii="宋体" w:hAnsi="宋体"/>
          <w:szCs w:val="21"/>
          <w:highlight w:val="none"/>
        </w:rPr>
        <mc:AlternateContent>
          <mc:Choice Requires="wps">
            <w:drawing>
              <wp:anchor distT="0" distB="0" distL="114300" distR="114300" simplePos="0" relativeHeight="251666432" behindDoc="0" locked="0" layoutInCell="1" allowOverlap="1">
                <wp:simplePos x="0" y="0"/>
                <wp:positionH relativeFrom="column">
                  <wp:posOffset>2206625</wp:posOffset>
                </wp:positionH>
                <wp:positionV relativeFrom="paragraph">
                  <wp:posOffset>132715</wp:posOffset>
                </wp:positionV>
                <wp:extent cx="1346200" cy="0"/>
                <wp:effectExtent l="0" t="6350" r="6350" b="7620"/>
                <wp:wrapNone/>
                <wp:docPr id="8" name="直线 62"/>
                <wp:cNvGraphicFramePr/>
                <a:graphic xmlns:a="http://schemas.openxmlformats.org/drawingml/2006/main">
                  <a:graphicData uri="http://schemas.microsoft.com/office/word/2010/wordprocessingShape">
                    <wps:wsp>
                      <wps:cNvCnPr/>
                      <wps:spPr>
                        <a:xfrm>
                          <a:off x="0" y="0"/>
                          <a:ext cx="13462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62" o:spid="_x0000_s1026" o:spt="20" style="position:absolute;left:0pt;margin-left:173.75pt;margin-top:10.45pt;height:0pt;width:106pt;z-index:251666432;mso-width-relative:page;mso-height-relative:page;" filled="f" stroked="t" coordsize="21600,21600" o:gfxdata="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T+XPdgAAAAJAQAADwAA&#10;AAAAAAABACAAAAAiAAAAZHJzL2Rvd25yZXYueG1sUEsBAhQAFAAAAAgAh07iQNSoNFfdAQAA0QMA&#10;AA4AAAAAAAAAAQAgAAAAJwEAAGRycy9lMm9Eb2MueG1sUEsFBgAAAAAGAAYAWQEAAHYFAAAAAA==&#10;">
                <v:fill on="f" focussize="0,0"/>
                <v:stroke weight="1pt" color="#000000" joinstyle="round"/>
                <v:imagedata o:title=""/>
                <o:lock v:ext="edit" aspectratio="f"/>
              </v:line>
            </w:pict>
          </mc:Fallback>
        </mc:AlternateContent>
      </w:r>
    </w:p>
    <w:sectPr>
      <w:pgSz w:w="11906" w:h="16838"/>
      <w:pgMar w:top="567" w:right="1134" w:bottom="1134" w:left="1417"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FKai-SB">
    <w:altName w:val="Microsoft JhengHei Light"/>
    <w:panose1 w:val="00000000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30BEC">
    <w:pPr>
      <w:pStyle w:val="144"/>
    </w:pPr>
    <w:r>
      <w:fldChar w:fldCharType="begin"/>
    </w:r>
    <w:r>
      <w:instrText xml:space="preserve"> PAGE  \* MERGEFORMAT </w:instrText>
    </w:r>
    <w:r>
      <w:fldChar w:fldCharType="separate"/>
    </w:r>
    <w: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16C88">
    <w:pPr>
      <w:pStyle w:val="69"/>
    </w:pPr>
    <w:r>
      <w:fldChar w:fldCharType="begin"/>
    </w:r>
    <w:r>
      <w:instrText xml:space="preserve"> PAGE  \* MERGEFORMAT </w:instrText>
    </w:r>
    <w:r>
      <w:fldChar w:fldCharType="separate"/>
    </w:r>
    <w: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BE747">
    <w:pPr>
      <w:pStyle w:val="151"/>
    </w:pPr>
    <w:r>
      <w:rPr>
        <w:rFonts w:hint="eastAsia"/>
      </w:rPr>
      <w:t>JB/T 11370—20XX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308D">
    <w:pPr>
      <w:pStyle w:val="114"/>
    </w:pPr>
    <w:r>
      <w:rPr>
        <w:rFonts w:hint="eastAsia"/>
      </w:rPr>
      <w:t>J</w:t>
    </w:r>
    <w:r>
      <w:t>B/T 1</w:t>
    </w:r>
    <w:r>
      <w:rPr>
        <w:rFonts w:hint="eastAsia"/>
      </w:rPr>
      <w:t>1370—</w:t>
    </w:r>
    <w: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98"/>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60"/>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40"/>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12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2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128"/>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pStyle w:val="90"/>
      <w:suff w:val="nothing"/>
      <w:lvlText w:val="%1.%2.%3.%4　"/>
      <w:lvlJc w:val="left"/>
      <w:pPr>
        <w:ind w:left="0" w:firstLine="0"/>
      </w:pPr>
      <w:rPr>
        <w:rFonts w:hint="eastAsia" w:ascii="黑体" w:hAnsi="Times New Roman" w:eastAsia="黑体"/>
        <w:b w:val="0"/>
        <w:i w:val="0"/>
        <w:sz w:val="21"/>
      </w:rPr>
    </w:lvl>
    <w:lvl w:ilvl="4" w:tentative="0">
      <w:start w:val="1"/>
      <w:numFmt w:val="decimal"/>
      <w:pStyle w:val="89"/>
      <w:suff w:val="nothing"/>
      <w:lvlText w:val="%1.%2.%3.%4.%5　"/>
      <w:lvlJc w:val="left"/>
      <w:pPr>
        <w:ind w:left="0" w:firstLine="0"/>
      </w:pPr>
      <w:rPr>
        <w:rFonts w:hint="eastAsia" w:ascii="黑体" w:hAnsi="Times New Roman" w:eastAsia="黑体"/>
        <w:b w:val="0"/>
        <w:i w:val="0"/>
        <w:sz w:val="21"/>
      </w:rPr>
    </w:lvl>
    <w:lvl w:ilvl="5" w:tentative="0">
      <w:start w:val="1"/>
      <w:numFmt w:val="decimal"/>
      <w:pStyle w:val="88"/>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0DC4AC9"/>
    <w:multiLevelType w:val="multilevel"/>
    <w:tmpl w:val="20DC4AC9"/>
    <w:lvl w:ilvl="0" w:tentative="0">
      <w:start w:val="2"/>
      <w:numFmt w:val="none"/>
      <w:suff w:val="nothing"/>
      <w:lvlText w:val="%1"/>
      <w:lvlJc w:val="left"/>
      <w:pPr>
        <w:ind w:left="0" w:firstLine="0"/>
      </w:pPr>
      <w:rPr>
        <w:rFonts w:hint="eastAsia"/>
      </w:rPr>
    </w:lvl>
    <w:lvl w:ilvl="1" w:tentative="0">
      <w:start w:val="5"/>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A8F7113"/>
    <w:multiLevelType w:val="multilevel"/>
    <w:tmpl w:val="2A8F7113"/>
    <w:lvl w:ilvl="0" w:tentative="0">
      <w:start w:val="1"/>
      <w:numFmt w:val="upperLetter"/>
      <w:pStyle w:val="129"/>
      <w:suff w:val="space"/>
      <w:lvlText w:val="%1"/>
      <w:lvlJc w:val="left"/>
      <w:pPr>
        <w:ind w:left="623" w:hanging="425"/>
      </w:pPr>
      <w:rPr>
        <w:rFonts w:hint="eastAsia"/>
      </w:rPr>
    </w:lvl>
    <w:lvl w:ilvl="1" w:tentative="0">
      <w:start w:val="1"/>
      <w:numFmt w:val="decimal"/>
      <w:pStyle w:val="66"/>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8">
    <w:nsid w:val="2C5917C3"/>
    <w:multiLevelType w:val="multilevel"/>
    <w:tmpl w:val="2C5917C3"/>
    <w:lvl w:ilvl="0" w:tentative="0">
      <w:start w:val="1"/>
      <w:numFmt w:val="none"/>
      <w:pStyle w:val="109"/>
      <w:suff w:val="nothing"/>
      <w:lvlText w:val="%1——"/>
      <w:lvlJc w:val="left"/>
      <w:pPr>
        <w:ind w:left="833" w:hanging="408"/>
      </w:pPr>
      <w:rPr>
        <w:rFonts w:hint="eastAsia"/>
      </w:rPr>
    </w:lvl>
    <w:lvl w:ilvl="1" w:tentative="0">
      <w:start w:val="1"/>
      <w:numFmt w:val="bullet"/>
      <w:pStyle w:val="93"/>
      <w:lvlText w:val=""/>
      <w:lvlJc w:val="left"/>
      <w:pPr>
        <w:tabs>
          <w:tab w:val="left" w:pos="760"/>
        </w:tabs>
        <w:ind w:left="1264" w:hanging="413"/>
      </w:pPr>
      <w:rPr>
        <w:rFonts w:hint="default" w:ascii="Symbol" w:hAnsi="Symbol"/>
        <w:color w:val="auto"/>
      </w:rPr>
    </w:lvl>
    <w:lvl w:ilvl="2" w:tentative="0">
      <w:start w:val="1"/>
      <w:numFmt w:val="bullet"/>
      <w:pStyle w:val="13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9">
    <w:nsid w:val="3D733618"/>
    <w:multiLevelType w:val="multilevel"/>
    <w:tmpl w:val="3D733618"/>
    <w:lvl w:ilvl="0" w:tentative="0">
      <w:start w:val="1"/>
      <w:numFmt w:val="decimal"/>
      <w:pStyle w:val="29"/>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pStyle w:val="171"/>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0">
    <w:nsid w:val="44C50F90"/>
    <w:multiLevelType w:val="multilevel"/>
    <w:tmpl w:val="44C50F90"/>
    <w:lvl w:ilvl="0" w:tentative="0">
      <w:start w:val="1"/>
      <w:numFmt w:val="lowerLetter"/>
      <w:pStyle w:val="10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42"/>
      <w:lvlText w:val="%2)"/>
      <w:lvlJc w:val="left"/>
      <w:pPr>
        <w:tabs>
          <w:tab w:val="left" w:pos="1260"/>
        </w:tabs>
        <w:ind w:left="1259" w:hanging="419"/>
      </w:pPr>
      <w:rPr>
        <w:rFonts w:hint="eastAsia"/>
      </w:rPr>
    </w:lvl>
    <w:lvl w:ilvl="2" w:tentative="0">
      <w:start w:val="1"/>
      <w:numFmt w:val="decimal"/>
      <w:pStyle w:val="10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4B733A5F"/>
    <w:multiLevelType w:val="multilevel"/>
    <w:tmpl w:val="4B733A5F"/>
    <w:lvl w:ilvl="0" w:tentative="0">
      <w:start w:val="1"/>
      <w:numFmt w:val="decimal"/>
      <w:pStyle w:val="14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2">
    <w:nsid w:val="557C2AF5"/>
    <w:multiLevelType w:val="multilevel"/>
    <w:tmpl w:val="557C2AF5"/>
    <w:lvl w:ilvl="0" w:tentative="0">
      <w:start w:val="1"/>
      <w:numFmt w:val="decimal"/>
      <w:pStyle w:val="124"/>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0B55DC2"/>
    <w:multiLevelType w:val="multilevel"/>
    <w:tmpl w:val="60B55DC2"/>
    <w:lvl w:ilvl="0" w:tentative="0">
      <w:start w:val="1"/>
      <w:numFmt w:val="upperLetter"/>
      <w:pStyle w:val="112"/>
      <w:lvlText w:val="%1"/>
      <w:lvlJc w:val="left"/>
      <w:pPr>
        <w:tabs>
          <w:tab w:val="left" w:pos="0"/>
        </w:tabs>
        <w:ind w:left="0" w:hanging="425"/>
      </w:pPr>
      <w:rPr>
        <w:rFonts w:hint="eastAsia"/>
      </w:rPr>
    </w:lvl>
    <w:lvl w:ilvl="1" w:tentative="0">
      <w:start w:val="1"/>
      <w:numFmt w:val="decimal"/>
      <w:pStyle w:val="108"/>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4">
    <w:nsid w:val="646260FA"/>
    <w:multiLevelType w:val="multilevel"/>
    <w:tmpl w:val="646260FA"/>
    <w:lvl w:ilvl="0" w:tentative="0">
      <w:start w:val="1"/>
      <w:numFmt w:val="decimal"/>
      <w:pStyle w:val="96"/>
      <w:suff w:val="nothing"/>
      <w:lvlText w:val="表%1　"/>
      <w:lvlJc w:val="left"/>
      <w:pPr>
        <w:ind w:left="3828"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57D3FBC"/>
    <w:multiLevelType w:val="multilevel"/>
    <w:tmpl w:val="657D3FBC"/>
    <w:lvl w:ilvl="0" w:tentative="0">
      <w:start w:val="1"/>
      <w:numFmt w:val="upperLetter"/>
      <w:pStyle w:val="119"/>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3"/>
      <w:suff w:val="nothing"/>
      <w:lvlText w:val="%1.%2.%3　"/>
      <w:lvlJc w:val="left"/>
      <w:pPr>
        <w:ind w:left="0" w:firstLine="0"/>
      </w:pPr>
      <w:rPr>
        <w:rFonts w:hint="eastAsia" w:ascii="黑体" w:hAnsi="Times New Roman" w:eastAsia="黑体"/>
        <w:b w:val="0"/>
        <w:i w:val="0"/>
        <w:sz w:val="21"/>
      </w:rPr>
    </w:lvl>
    <w:lvl w:ilvl="3" w:tentative="0">
      <w:start w:val="1"/>
      <w:numFmt w:val="decimal"/>
      <w:pStyle w:val="76"/>
      <w:suff w:val="nothing"/>
      <w:lvlText w:val="%1.%2.%3.%4　"/>
      <w:lvlJc w:val="left"/>
      <w:pPr>
        <w:ind w:left="0" w:firstLine="0"/>
      </w:pPr>
      <w:rPr>
        <w:rFonts w:hint="eastAsia" w:ascii="黑体" w:hAnsi="Times New Roman" w:eastAsia="黑体"/>
        <w:b w:val="0"/>
        <w:i w:val="0"/>
        <w:sz w:val="21"/>
      </w:rPr>
    </w:lvl>
    <w:lvl w:ilvl="4" w:tentative="0">
      <w:start w:val="1"/>
      <w:numFmt w:val="decimal"/>
      <w:pStyle w:val="75"/>
      <w:suff w:val="nothing"/>
      <w:lvlText w:val="%1.%2.%3.%4.%5　"/>
      <w:lvlJc w:val="left"/>
      <w:pPr>
        <w:ind w:left="0" w:firstLine="0"/>
      </w:pPr>
      <w:rPr>
        <w:rFonts w:hint="eastAsia" w:ascii="黑体" w:hAnsi="Times New Roman" w:eastAsia="黑体"/>
        <w:b w:val="0"/>
        <w:i w:val="0"/>
        <w:sz w:val="21"/>
      </w:rPr>
    </w:lvl>
    <w:lvl w:ilvl="5" w:tentative="0">
      <w:start w:val="1"/>
      <w:numFmt w:val="decimal"/>
      <w:pStyle w:val="74"/>
      <w:suff w:val="nothing"/>
      <w:lvlText w:val="%1.%2.%3.%4.%5.%6　"/>
      <w:lvlJc w:val="left"/>
      <w:pPr>
        <w:ind w:left="0" w:firstLine="0"/>
      </w:pPr>
      <w:rPr>
        <w:rFonts w:hint="eastAsia" w:ascii="黑体" w:hAnsi="Times New Roman" w:eastAsia="黑体"/>
        <w:b w:val="0"/>
        <w:i w:val="0"/>
        <w:sz w:val="21"/>
      </w:rPr>
    </w:lvl>
    <w:lvl w:ilvl="6" w:tentative="0">
      <w:start w:val="1"/>
      <w:numFmt w:val="decimal"/>
      <w:pStyle w:val="7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6D6C07CD"/>
    <w:multiLevelType w:val="multilevel"/>
    <w:tmpl w:val="6D6C07CD"/>
    <w:lvl w:ilvl="0" w:tentative="0">
      <w:start w:val="1"/>
      <w:numFmt w:val="lowerLetter"/>
      <w:pStyle w:val="71"/>
      <w:lvlText w:val="%1)"/>
      <w:lvlJc w:val="left"/>
      <w:pPr>
        <w:tabs>
          <w:tab w:val="left" w:pos="839"/>
        </w:tabs>
        <w:ind w:left="839" w:hanging="419"/>
      </w:pPr>
      <w:rPr>
        <w:rFonts w:hint="eastAsia" w:ascii="宋体" w:eastAsia="宋体"/>
        <w:b w:val="0"/>
        <w:i w:val="0"/>
        <w:sz w:val="21"/>
      </w:rPr>
    </w:lvl>
    <w:lvl w:ilvl="1" w:tentative="0">
      <w:start w:val="1"/>
      <w:numFmt w:val="decimal"/>
      <w:pStyle w:val="107"/>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8">
    <w:nsid w:val="6DBF04F4"/>
    <w:multiLevelType w:val="multilevel"/>
    <w:tmpl w:val="6DBF04F4"/>
    <w:lvl w:ilvl="0" w:tentative="0">
      <w:start w:val="1"/>
      <w:numFmt w:val="none"/>
      <w:pStyle w:val="117"/>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9"/>
  </w:num>
  <w:num w:numId="2">
    <w:abstractNumId w:val="1"/>
  </w:num>
  <w:num w:numId="3">
    <w:abstractNumId w:val="7"/>
  </w:num>
  <w:num w:numId="4">
    <w:abstractNumId w:val="17"/>
  </w:num>
  <w:num w:numId="5">
    <w:abstractNumId w:val="15"/>
  </w:num>
  <w:num w:numId="6">
    <w:abstractNumId w:val="5"/>
  </w:num>
  <w:num w:numId="7">
    <w:abstractNumId w:val="8"/>
  </w:num>
  <w:num w:numId="8">
    <w:abstractNumId w:val="14"/>
  </w:num>
  <w:num w:numId="9">
    <w:abstractNumId w:val="0"/>
  </w:num>
  <w:num w:numId="10">
    <w:abstractNumId w:val="10"/>
  </w:num>
  <w:num w:numId="11">
    <w:abstractNumId w:val="13"/>
  </w:num>
  <w:num w:numId="12">
    <w:abstractNumId w:val="18"/>
  </w:num>
  <w:num w:numId="13">
    <w:abstractNumId w:val="12"/>
  </w:num>
  <w:num w:numId="14">
    <w:abstractNumId w:val="4"/>
  </w:num>
  <w:num w:numId="15">
    <w:abstractNumId w:val="3"/>
  </w:num>
  <w:num w:numId="16">
    <w:abstractNumId w:val="2"/>
  </w:num>
  <w:num w:numId="17">
    <w:abstractNumId w:val="11"/>
  </w:num>
  <w:num w:numId="18">
    <w:abstractNumId w:val="16"/>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mirrorMargin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GZmZTgxZDM2Yjc1NTFkN2E2YWQ0OTRiOTEyYTkifQ=="/>
  </w:docVars>
  <w:rsids>
    <w:rsidRoot w:val="00035925"/>
    <w:rsid w:val="00000244"/>
    <w:rsid w:val="000005C6"/>
    <w:rsid w:val="000010A2"/>
    <w:rsid w:val="0000185F"/>
    <w:rsid w:val="000028D5"/>
    <w:rsid w:val="0000582C"/>
    <w:rsid w:val="0000586F"/>
    <w:rsid w:val="00005DD6"/>
    <w:rsid w:val="00006543"/>
    <w:rsid w:val="00006B2B"/>
    <w:rsid w:val="0000756B"/>
    <w:rsid w:val="00010B79"/>
    <w:rsid w:val="00011834"/>
    <w:rsid w:val="00011A75"/>
    <w:rsid w:val="00012E03"/>
    <w:rsid w:val="000134DA"/>
    <w:rsid w:val="00013D86"/>
    <w:rsid w:val="00013E02"/>
    <w:rsid w:val="000141F5"/>
    <w:rsid w:val="000144F0"/>
    <w:rsid w:val="00015822"/>
    <w:rsid w:val="0002143C"/>
    <w:rsid w:val="000214B4"/>
    <w:rsid w:val="0002199A"/>
    <w:rsid w:val="00022785"/>
    <w:rsid w:val="00023930"/>
    <w:rsid w:val="000250C3"/>
    <w:rsid w:val="00025A65"/>
    <w:rsid w:val="00026C31"/>
    <w:rsid w:val="00027280"/>
    <w:rsid w:val="00027C7B"/>
    <w:rsid w:val="00030CD1"/>
    <w:rsid w:val="00030EBB"/>
    <w:rsid w:val="000310C8"/>
    <w:rsid w:val="00031F88"/>
    <w:rsid w:val="000320A7"/>
    <w:rsid w:val="00032BC5"/>
    <w:rsid w:val="000348DF"/>
    <w:rsid w:val="00035925"/>
    <w:rsid w:val="00035ED1"/>
    <w:rsid w:val="000365D1"/>
    <w:rsid w:val="00040070"/>
    <w:rsid w:val="00040B30"/>
    <w:rsid w:val="0004134A"/>
    <w:rsid w:val="00042D71"/>
    <w:rsid w:val="000440F5"/>
    <w:rsid w:val="00044AB6"/>
    <w:rsid w:val="000452F3"/>
    <w:rsid w:val="0004592E"/>
    <w:rsid w:val="00045A15"/>
    <w:rsid w:val="00052873"/>
    <w:rsid w:val="00054441"/>
    <w:rsid w:val="0005540E"/>
    <w:rsid w:val="000564EB"/>
    <w:rsid w:val="0005691A"/>
    <w:rsid w:val="00057143"/>
    <w:rsid w:val="00062155"/>
    <w:rsid w:val="000621BA"/>
    <w:rsid w:val="0006285E"/>
    <w:rsid w:val="00062E24"/>
    <w:rsid w:val="0006483E"/>
    <w:rsid w:val="000659F9"/>
    <w:rsid w:val="000661FE"/>
    <w:rsid w:val="000669B8"/>
    <w:rsid w:val="00067CDF"/>
    <w:rsid w:val="00071967"/>
    <w:rsid w:val="00072B40"/>
    <w:rsid w:val="0007316D"/>
    <w:rsid w:val="00073AC8"/>
    <w:rsid w:val="00074FBE"/>
    <w:rsid w:val="00076BD8"/>
    <w:rsid w:val="00077789"/>
    <w:rsid w:val="00080AEC"/>
    <w:rsid w:val="00083692"/>
    <w:rsid w:val="000837AE"/>
    <w:rsid w:val="00083A09"/>
    <w:rsid w:val="00084603"/>
    <w:rsid w:val="00085362"/>
    <w:rsid w:val="0008595B"/>
    <w:rsid w:val="00085B08"/>
    <w:rsid w:val="000872CC"/>
    <w:rsid w:val="0008754B"/>
    <w:rsid w:val="0009005E"/>
    <w:rsid w:val="00090B56"/>
    <w:rsid w:val="00090C5E"/>
    <w:rsid w:val="00090EED"/>
    <w:rsid w:val="00092857"/>
    <w:rsid w:val="00093866"/>
    <w:rsid w:val="0009448C"/>
    <w:rsid w:val="00094E47"/>
    <w:rsid w:val="00095308"/>
    <w:rsid w:val="0009635F"/>
    <w:rsid w:val="000A1068"/>
    <w:rsid w:val="000A1658"/>
    <w:rsid w:val="000A1A3D"/>
    <w:rsid w:val="000A1F9B"/>
    <w:rsid w:val="000A20A9"/>
    <w:rsid w:val="000A42D7"/>
    <w:rsid w:val="000A46F3"/>
    <w:rsid w:val="000A48B1"/>
    <w:rsid w:val="000A60F2"/>
    <w:rsid w:val="000A69AE"/>
    <w:rsid w:val="000A716E"/>
    <w:rsid w:val="000A791F"/>
    <w:rsid w:val="000B00F2"/>
    <w:rsid w:val="000B0587"/>
    <w:rsid w:val="000B0CDE"/>
    <w:rsid w:val="000B0DEA"/>
    <w:rsid w:val="000B1BA8"/>
    <w:rsid w:val="000B2118"/>
    <w:rsid w:val="000B230C"/>
    <w:rsid w:val="000B25C8"/>
    <w:rsid w:val="000B29B8"/>
    <w:rsid w:val="000B3143"/>
    <w:rsid w:val="000B31D4"/>
    <w:rsid w:val="000B4D50"/>
    <w:rsid w:val="000B5713"/>
    <w:rsid w:val="000B6699"/>
    <w:rsid w:val="000B774E"/>
    <w:rsid w:val="000B7A56"/>
    <w:rsid w:val="000B7DC9"/>
    <w:rsid w:val="000C1450"/>
    <w:rsid w:val="000C2A97"/>
    <w:rsid w:val="000C2F3B"/>
    <w:rsid w:val="000C31E0"/>
    <w:rsid w:val="000C4EAF"/>
    <w:rsid w:val="000C5986"/>
    <w:rsid w:val="000C6B05"/>
    <w:rsid w:val="000C6DD6"/>
    <w:rsid w:val="000C72F5"/>
    <w:rsid w:val="000C73D4"/>
    <w:rsid w:val="000D0700"/>
    <w:rsid w:val="000D0CF0"/>
    <w:rsid w:val="000D191B"/>
    <w:rsid w:val="000D1F04"/>
    <w:rsid w:val="000D1F73"/>
    <w:rsid w:val="000D2F60"/>
    <w:rsid w:val="000D308F"/>
    <w:rsid w:val="000D3D4C"/>
    <w:rsid w:val="000D4F51"/>
    <w:rsid w:val="000D5EDA"/>
    <w:rsid w:val="000D6976"/>
    <w:rsid w:val="000D718B"/>
    <w:rsid w:val="000E09A7"/>
    <w:rsid w:val="000E0A50"/>
    <w:rsid w:val="000E0C46"/>
    <w:rsid w:val="000E11B2"/>
    <w:rsid w:val="000E54BB"/>
    <w:rsid w:val="000F030C"/>
    <w:rsid w:val="000F129C"/>
    <w:rsid w:val="000F5AD2"/>
    <w:rsid w:val="00101402"/>
    <w:rsid w:val="00101648"/>
    <w:rsid w:val="0010344D"/>
    <w:rsid w:val="001053A5"/>
    <w:rsid w:val="001056DE"/>
    <w:rsid w:val="00105D3C"/>
    <w:rsid w:val="00106465"/>
    <w:rsid w:val="001067FB"/>
    <w:rsid w:val="00107CAD"/>
    <w:rsid w:val="001124C0"/>
    <w:rsid w:val="00112EF7"/>
    <w:rsid w:val="001134AA"/>
    <w:rsid w:val="00117536"/>
    <w:rsid w:val="00117916"/>
    <w:rsid w:val="00117D9A"/>
    <w:rsid w:val="00122E7C"/>
    <w:rsid w:val="0012453D"/>
    <w:rsid w:val="00124D5B"/>
    <w:rsid w:val="0012565D"/>
    <w:rsid w:val="0013095E"/>
    <w:rsid w:val="0013101A"/>
    <w:rsid w:val="0013175F"/>
    <w:rsid w:val="001335E9"/>
    <w:rsid w:val="00134224"/>
    <w:rsid w:val="00134986"/>
    <w:rsid w:val="001353DB"/>
    <w:rsid w:val="00137E34"/>
    <w:rsid w:val="0014410C"/>
    <w:rsid w:val="00144EF1"/>
    <w:rsid w:val="0014507C"/>
    <w:rsid w:val="00146DA3"/>
    <w:rsid w:val="001473A1"/>
    <w:rsid w:val="001512B4"/>
    <w:rsid w:val="00151A94"/>
    <w:rsid w:val="001526A4"/>
    <w:rsid w:val="0015439C"/>
    <w:rsid w:val="001554A7"/>
    <w:rsid w:val="00155B2C"/>
    <w:rsid w:val="00156D64"/>
    <w:rsid w:val="001616A0"/>
    <w:rsid w:val="001617D1"/>
    <w:rsid w:val="001620A5"/>
    <w:rsid w:val="0016322B"/>
    <w:rsid w:val="00164CCD"/>
    <w:rsid w:val="00164E53"/>
    <w:rsid w:val="00165C9F"/>
    <w:rsid w:val="0016699D"/>
    <w:rsid w:val="00166D5F"/>
    <w:rsid w:val="001700D0"/>
    <w:rsid w:val="00171977"/>
    <w:rsid w:val="00172CBD"/>
    <w:rsid w:val="00173D99"/>
    <w:rsid w:val="00175159"/>
    <w:rsid w:val="0017533A"/>
    <w:rsid w:val="00176208"/>
    <w:rsid w:val="00177771"/>
    <w:rsid w:val="00180D8F"/>
    <w:rsid w:val="0018109D"/>
    <w:rsid w:val="00181C70"/>
    <w:rsid w:val="0018211B"/>
    <w:rsid w:val="001825B0"/>
    <w:rsid w:val="00182BF0"/>
    <w:rsid w:val="00183275"/>
    <w:rsid w:val="001838AC"/>
    <w:rsid w:val="00183B77"/>
    <w:rsid w:val="001840D3"/>
    <w:rsid w:val="00185988"/>
    <w:rsid w:val="001900F8"/>
    <w:rsid w:val="00191258"/>
    <w:rsid w:val="00191F58"/>
    <w:rsid w:val="00192680"/>
    <w:rsid w:val="00193037"/>
    <w:rsid w:val="00193205"/>
    <w:rsid w:val="00193A2C"/>
    <w:rsid w:val="00193B58"/>
    <w:rsid w:val="00193C26"/>
    <w:rsid w:val="001946EF"/>
    <w:rsid w:val="00195352"/>
    <w:rsid w:val="0019754A"/>
    <w:rsid w:val="001976A0"/>
    <w:rsid w:val="001977B5"/>
    <w:rsid w:val="001A163D"/>
    <w:rsid w:val="001A207C"/>
    <w:rsid w:val="001A288E"/>
    <w:rsid w:val="001A42A9"/>
    <w:rsid w:val="001A5772"/>
    <w:rsid w:val="001A5848"/>
    <w:rsid w:val="001A650B"/>
    <w:rsid w:val="001B19F6"/>
    <w:rsid w:val="001B1A36"/>
    <w:rsid w:val="001B1D7D"/>
    <w:rsid w:val="001B314C"/>
    <w:rsid w:val="001B31B5"/>
    <w:rsid w:val="001B3330"/>
    <w:rsid w:val="001B43B2"/>
    <w:rsid w:val="001B453F"/>
    <w:rsid w:val="001B4DEF"/>
    <w:rsid w:val="001B5A60"/>
    <w:rsid w:val="001B5B53"/>
    <w:rsid w:val="001B6DC2"/>
    <w:rsid w:val="001C0233"/>
    <w:rsid w:val="001C02C6"/>
    <w:rsid w:val="001C0A3E"/>
    <w:rsid w:val="001C149C"/>
    <w:rsid w:val="001C16C9"/>
    <w:rsid w:val="001C21AC"/>
    <w:rsid w:val="001C26AC"/>
    <w:rsid w:val="001C341E"/>
    <w:rsid w:val="001C47BA"/>
    <w:rsid w:val="001C49DD"/>
    <w:rsid w:val="001C59EA"/>
    <w:rsid w:val="001C7045"/>
    <w:rsid w:val="001C7513"/>
    <w:rsid w:val="001C75FE"/>
    <w:rsid w:val="001C7DAB"/>
    <w:rsid w:val="001D1142"/>
    <w:rsid w:val="001D13BE"/>
    <w:rsid w:val="001D1890"/>
    <w:rsid w:val="001D406C"/>
    <w:rsid w:val="001D41EE"/>
    <w:rsid w:val="001D533E"/>
    <w:rsid w:val="001D553B"/>
    <w:rsid w:val="001D730D"/>
    <w:rsid w:val="001E0094"/>
    <w:rsid w:val="001E0380"/>
    <w:rsid w:val="001E072D"/>
    <w:rsid w:val="001E13B1"/>
    <w:rsid w:val="001E1971"/>
    <w:rsid w:val="001E22B3"/>
    <w:rsid w:val="001E3EBC"/>
    <w:rsid w:val="001E77BA"/>
    <w:rsid w:val="001F023C"/>
    <w:rsid w:val="001F0684"/>
    <w:rsid w:val="001F22B7"/>
    <w:rsid w:val="001F3A19"/>
    <w:rsid w:val="001F5DC3"/>
    <w:rsid w:val="002004B3"/>
    <w:rsid w:val="00201E90"/>
    <w:rsid w:val="0020274C"/>
    <w:rsid w:val="00202D2D"/>
    <w:rsid w:val="00203489"/>
    <w:rsid w:val="002034BF"/>
    <w:rsid w:val="00204481"/>
    <w:rsid w:val="00204A09"/>
    <w:rsid w:val="00204F44"/>
    <w:rsid w:val="002060A0"/>
    <w:rsid w:val="00207C3C"/>
    <w:rsid w:val="0021194B"/>
    <w:rsid w:val="00211F9A"/>
    <w:rsid w:val="0021230E"/>
    <w:rsid w:val="0021591C"/>
    <w:rsid w:val="00215B4B"/>
    <w:rsid w:val="00216661"/>
    <w:rsid w:val="002203BC"/>
    <w:rsid w:val="00220D25"/>
    <w:rsid w:val="00221F02"/>
    <w:rsid w:val="00223D89"/>
    <w:rsid w:val="002251CE"/>
    <w:rsid w:val="00227866"/>
    <w:rsid w:val="00232021"/>
    <w:rsid w:val="00233247"/>
    <w:rsid w:val="00234467"/>
    <w:rsid w:val="00235DBC"/>
    <w:rsid w:val="00236795"/>
    <w:rsid w:val="00237921"/>
    <w:rsid w:val="00237D8D"/>
    <w:rsid w:val="00237E06"/>
    <w:rsid w:val="0024090D"/>
    <w:rsid w:val="00241ADC"/>
    <w:rsid w:val="00241DA2"/>
    <w:rsid w:val="0024301C"/>
    <w:rsid w:val="00246C35"/>
    <w:rsid w:val="0024709C"/>
    <w:rsid w:val="00247F0E"/>
    <w:rsid w:val="00247FEE"/>
    <w:rsid w:val="0025015D"/>
    <w:rsid w:val="002505DA"/>
    <w:rsid w:val="00250E7D"/>
    <w:rsid w:val="002522EA"/>
    <w:rsid w:val="00252E8C"/>
    <w:rsid w:val="002530F2"/>
    <w:rsid w:val="00253344"/>
    <w:rsid w:val="00253423"/>
    <w:rsid w:val="002565D5"/>
    <w:rsid w:val="0025749C"/>
    <w:rsid w:val="002576A0"/>
    <w:rsid w:val="002609A6"/>
    <w:rsid w:val="002612AB"/>
    <w:rsid w:val="00261D60"/>
    <w:rsid w:val="002622C0"/>
    <w:rsid w:val="002629C5"/>
    <w:rsid w:val="0026358C"/>
    <w:rsid w:val="002647F1"/>
    <w:rsid w:val="00265797"/>
    <w:rsid w:val="00265B2A"/>
    <w:rsid w:val="002729C6"/>
    <w:rsid w:val="00275560"/>
    <w:rsid w:val="002778AE"/>
    <w:rsid w:val="002779D1"/>
    <w:rsid w:val="00277DAD"/>
    <w:rsid w:val="0028269A"/>
    <w:rsid w:val="00282BF4"/>
    <w:rsid w:val="00283590"/>
    <w:rsid w:val="00284139"/>
    <w:rsid w:val="00284190"/>
    <w:rsid w:val="002844D6"/>
    <w:rsid w:val="002864EE"/>
    <w:rsid w:val="00286973"/>
    <w:rsid w:val="0028757F"/>
    <w:rsid w:val="002906DE"/>
    <w:rsid w:val="002911E7"/>
    <w:rsid w:val="0029272E"/>
    <w:rsid w:val="00293701"/>
    <w:rsid w:val="00293CDF"/>
    <w:rsid w:val="00294894"/>
    <w:rsid w:val="00294E70"/>
    <w:rsid w:val="00295183"/>
    <w:rsid w:val="00295E51"/>
    <w:rsid w:val="0029609D"/>
    <w:rsid w:val="002963D4"/>
    <w:rsid w:val="0029685C"/>
    <w:rsid w:val="002A063A"/>
    <w:rsid w:val="002A101F"/>
    <w:rsid w:val="002A1924"/>
    <w:rsid w:val="002A21FC"/>
    <w:rsid w:val="002A7420"/>
    <w:rsid w:val="002B0A4D"/>
    <w:rsid w:val="002B0BB3"/>
    <w:rsid w:val="002B0F12"/>
    <w:rsid w:val="002B1218"/>
    <w:rsid w:val="002B1308"/>
    <w:rsid w:val="002B3C8D"/>
    <w:rsid w:val="002B3E47"/>
    <w:rsid w:val="002B4554"/>
    <w:rsid w:val="002B4DB1"/>
    <w:rsid w:val="002B5624"/>
    <w:rsid w:val="002B7BC0"/>
    <w:rsid w:val="002C1D80"/>
    <w:rsid w:val="002C32BF"/>
    <w:rsid w:val="002C424F"/>
    <w:rsid w:val="002C6B96"/>
    <w:rsid w:val="002C72D8"/>
    <w:rsid w:val="002C7BE4"/>
    <w:rsid w:val="002D11FA"/>
    <w:rsid w:val="002D236F"/>
    <w:rsid w:val="002D4BEB"/>
    <w:rsid w:val="002D75DF"/>
    <w:rsid w:val="002E0DDF"/>
    <w:rsid w:val="002E2906"/>
    <w:rsid w:val="002E2A75"/>
    <w:rsid w:val="002E5635"/>
    <w:rsid w:val="002E5B94"/>
    <w:rsid w:val="002E5E4E"/>
    <w:rsid w:val="002E62E0"/>
    <w:rsid w:val="002E64C3"/>
    <w:rsid w:val="002E6A2C"/>
    <w:rsid w:val="002F0753"/>
    <w:rsid w:val="002F1D8C"/>
    <w:rsid w:val="002F21DA"/>
    <w:rsid w:val="002F2B32"/>
    <w:rsid w:val="002F361C"/>
    <w:rsid w:val="002F4332"/>
    <w:rsid w:val="002F5763"/>
    <w:rsid w:val="002F5BC7"/>
    <w:rsid w:val="002F7065"/>
    <w:rsid w:val="00301A0F"/>
    <w:rsid w:val="00301F39"/>
    <w:rsid w:val="00304E79"/>
    <w:rsid w:val="00307104"/>
    <w:rsid w:val="00311C3D"/>
    <w:rsid w:val="00313E08"/>
    <w:rsid w:val="00315248"/>
    <w:rsid w:val="00315D01"/>
    <w:rsid w:val="0031745C"/>
    <w:rsid w:val="00322DDD"/>
    <w:rsid w:val="003251E6"/>
    <w:rsid w:val="0032586B"/>
    <w:rsid w:val="00325926"/>
    <w:rsid w:val="00325A1F"/>
    <w:rsid w:val="003269C2"/>
    <w:rsid w:val="00326F46"/>
    <w:rsid w:val="00327A8A"/>
    <w:rsid w:val="00330630"/>
    <w:rsid w:val="00330E29"/>
    <w:rsid w:val="00331F36"/>
    <w:rsid w:val="00334380"/>
    <w:rsid w:val="00334884"/>
    <w:rsid w:val="00336610"/>
    <w:rsid w:val="0033729A"/>
    <w:rsid w:val="00337718"/>
    <w:rsid w:val="00337B88"/>
    <w:rsid w:val="0034072C"/>
    <w:rsid w:val="00342E5E"/>
    <w:rsid w:val="0034387B"/>
    <w:rsid w:val="00343F73"/>
    <w:rsid w:val="00345060"/>
    <w:rsid w:val="003453E8"/>
    <w:rsid w:val="00345D2D"/>
    <w:rsid w:val="00350765"/>
    <w:rsid w:val="00351269"/>
    <w:rsid w:val="00351C06"/>
    <w:rsid w:val="0035323B"/>
    <w:rsid w:val="00354AA4"/>
    <w:rsid w:val="00354E1D"/>
    <w:rsid w:val="003551D1"/>
    <w:rsid w:val="0035793E"/>
    <w:rsid w:val="00357FAC"/>
    <w:rsid w:val="003609D2"/>
    <w:rsid w:val="00362F3D"/>
    <w:rsid w:val="00363F22"/>
    <w:rsid w:val="0036402F"/>
    <w:rsid w:val="003678BA"/>
    <w:rsid w:val="00370AF6"/>
    <w:rsid w:val="00371DE6"/>
    <w:rsid w:val="00371FE0"/>
    <w:rsid w:val="00372616"/>
    <w:rsid w:val="00372863"/>
    <w:rsid w:val="00375564"/>
    <w:rsid w:val="0037558C"/>
    <w:rsid w:val="00377F51"/>
    <w:rsid w:val="003808C8"/>
    <w:rsid w:val="003821D4"/>
    <w:rsid w:val="00382B9A"/>
    <w:rsid w:val="00383191"/>
    <w:rsid w:val="00383261"/>
    <w:rsid w:val="0038629A"/>
    <w:rsid w:val="0038663F"/>
    <w:rsid w:val="00386DED"/>
    <w:rsid w:val="00386EAE"/>
    <w:rsid w:val="003912E7"/>
    <w:rsid w:val="0039324C"/>
    <w:rsid w:val="00393947"/>
    <w:rsid w:val="00394018"/>
    <w:rsid w:val="003964EE"/>
    <w:rsid w:val="00396A74"/>
    <w:rsid w:val="0039773B"/>
    <w:rsid w:val="003A0360"/>
    <w:rsid w:val="003A0FF8"/>
    <w:rsid w:val="003A2275"/>
    <w:rsid w:val="003A4D74"/>
    <w:rsid w:val="003A6A4F"/>
    <w:rsid w:val="003A6E7D"/>
    <w:rsid w:val="003A7088"/>
    <w:rsid w:val="003A725C"/>
    <w:rsid w:val="003B00DF"/>
    <w:rsid w:val="003B0738"/>
    <w:rsid w:val="003B1275"/>
    <w:rsid w:val="003B1778"/>
    <w:rsid w:val="003B2D40"/>
    <w:rsid w:val="003B3AF3"/>
    <w:rsid w:val="003B66E5"/>
    <w:rsid w:val="003B7474"/>
    <w:rsid w:val="003B7A3D"/>
    <w:rsid w:val="003C0377"/>
    <w:rsid w:val="003C11CB"/>
    <w:rsid w:val="003C14CD"/>
    <w:rsid w:val="003C18B1"/>
    <w:rsid w:val="003C21D3"/>
    <w:rsid w:val="003C2DA3"/>
    <w:rsid w:val="003C3BF9"/>
    <w:rsid w:val="003C3F13"/>
    <w:rsid w:val="003C5702"/>
    <w:rsid w:val="003C5BA0"/>
    <w:rsid w:val="003C75F3"/>
    <w:rsid w:val="003C78A3"/>
    <w:rsid w:val="003C7990"/>
    <w:rsid w:val="003D0DF6"/>
    <w:rsid w:val="003D0E95"/>
    <w:rsid w:val="003D1E44"/>
    <w:rsid w:val="003D205A"/>
    <w:rsid w:val="003D2E86"/>
    <w:rsid w:val="003D3C97"/>
    <w:rsid w:val="003D3F48"/>
    <w:rsid w:val="003D5059"/>
    <w:rsid w:val="003D5AFD"/>
    <w:rsid w:val="003D6145"/>
    <w:rsid w:val="003E0074"/>
    <w:rsid w:val="003E1867"/>
    <w:rsid w:val="003E274A"/>
    <w:rsid w:val="003E5729"/>
    <w:rsid w:val="003E721F"/>
    <w:rsid w:val="003E7287"/>
    <w:rsid w:val="003E7CAE"/>
    <w:rsid w:val="003E7EA7"/>
    <w:rsid w:val="003F2F42"/>
    <w:rsid w:val="003F4EE0"/>
    <w:rsid w:val="003F56A3"/>
    <w:rsid w:val="003F6C45"/>
    <w:rsid w:val="004010D6"/>
    <w:rsid w:val="0040145E"/>
    <w:rsid w:val="00401536"/>
    <w:rsid w:val="00402153"/>
    <w:rsid w:val="004026D4"/>
    <w:rsid w:val="00402FC1"/>
    <w:rsid w:val="00403D95"/>
    <w:rsid w:val="00404AEA"/>
    <w:rsid w:val="00405152"/>
    <w:rsid w:val="00405B53"/>
    <w:rsid w:val="004108EF"/>
    <w:rsid w:val="004128DD"/>
    <w:rsid w:val="0041326C"/>
    <w:rsid w:val="004134AF"/>
    <w:rsid w:val="00414867"/>
    <w:rsid w:val="00417F61"/>
    <w:rsid w:val="0042060E"/>
    <w:rsid w:val="00421880"/>
    <w:rsid w:val="00422D29"/>
    <w:rsid w:val="0042471F"/>
    <w:rsid w:val="004248A0"/>
    <w:rsid w:val="00425082"/>
    <w:rsid w:val="00425A54"/>
    <w:rsid w:val="00430D08"/>
    <w:rsid w:val="00431DEB"/>
    <w:rsid w:val="00432B01"/>
    <w:rsid w:val="00434951"/>
    <w:rsid w:val="00434FD9"/>
    <w:rsid w:val="00435BD4"/>
    <w:rsid w:val="00437DEC"/>
    <w:rsid w:val="0044136B"/>
    <w:rsid w:val="004417AC"/>
    <w:rsid w:val="004426C8"/>
    <w:rsid w:val="0044270F"/>
    <w:rsid w:val="00443E3E"/>
    <w:rsid w:val="004440EC"/>
    <w:rsid w:val="00444946"/>
    <w:rsid w:val="00446640"/>
    <w:rsid w:val="00446B29"/>
    <w:rsid w:val="00446EF1"/>
    <w:rsid w:val="00451146"/>
    <w:rsid w:val="00453C26"/>
    <w:rsid w:val="00453F9A"/>
    <w:rsid w:val="004547D5"/>
    <w:rsid w:val="00455793"/>
    <w:rsid w:val="00455959"/>
    <w:rsid w:val="00456F98"/>
    <w:rsid w:val="004572B0"/>
    <w:rsid w:val="00461275"/>
    <w:rsid w:val="004615BB"/>
    <w:rsid w:val="0046286D"/>
    <w:rsid w:val="00462ABB"/>
    <w:rsid w:val="00463AF9"/>
    <w:rsid w:val="00463C57"/>
    <w:rsid w:val="00464BF4"/>
    <w:rsid w:val="00464F8E"/>
    <w:rsid w:val="004668CB"/>
    <w:rsid w:val="00470961"/>
    <w:rsid w:val="00470E15"/>
    <w:rsid w:val="00471E91"/>
    <w:rsid w:val="004738FA"/>
    <w:rsid w:val="00474675"/>
    <w:rsid w:val="0047470C"/>
    <w:rsid w:val="004748C8"/>
    <w:rsid w:val="00475F00"/>
    <w:rsid w:val="0047730E"/>
    <w:rsid w:val="00477CEA"/>
    <w:rsid w:val="00482269"/>
    <w:rsid w:val="00484657"/>
    <w:rsid w:val="00485266"/>
    <w:rsid w:val="00485965"/>
    <w:rsid w:val="004901A7"/>
    <w:rsid w:val="004903C2"/>
    <w:rsid w:val="0049071F"/>
    <w:rsid w:val="0049097C"/>
    <w:rsid w:val="0049170A"/>
    <w:rsid w:val="00491AFA"/>
    <w:rsid w:val="00492E74"/>
    <w:rsid w:val="00495928"/>
    <w:rsid w:val="004974EA"/>
    <w:rsid w:val="004A0825"/>
    <w:rsid w:val="004A0BE1"/>
    <w:rsid w:val="004A35F9"/>
    <w:rsid w:val="004A710B"/>
    <w:rsid w:val="004B0343"/>
    <w:rsid w:val="004B24B4"/>
    <w:rsid w:val="004B24C1"/>
    <w:rsid w:val="004B2AF9"/>
    <w:rsid w:val="004B5ACB"/>
    <w:rsid w:val="004B5C46"/>
    <w:rsid w:val="004B705F"/>
    <w:rsid w:val="004B7964"/>
    <w:rsid w:val="004C0189"/>
    <w:rsid w:val="004C0DFF"/>
    <w:rsid w:val="004C292F"/>
    <w:rsid w:val="004C4952"/>
    <w:rsid w:val="004C4D18"/>
    <w:rsid w:val="004D1E38"/>
    <w:rsid w:val="004D2D03"/>
    <w:rsid w:val="004D53CD"/>
    <w:rsid w:val="004D628E"/>
    <w:rsid w:val="004E0BBD"/>
    <w:rsid w:val="004E3A9F"/>
    <w:rsid w:val="004E49AE"/>
    <w:rsid w:val="004E4ACB"/>
    <w:rsid w:val="004E5694"/>
    <w:rsid w:val="004E72F8"/>
    <w:rsid w:val="004F0EBF"/>
    <w:rsid w:val="004F2272"/>
    <w:rsid w:val="004F2DEB"/>
    <w:rsid w:val="004F338A"/>
    <w:rsid w:val="004F54FE"/>
    <w:rsid w:val="004F6250"/>
    <w:rsid w:val="0050216E"/>
    <w:rsid w:val="00502EC3"/>
    <w:rsid w:val="00504105"/>
    <w:rsid w:val="00504623"/>
    <w:rsid w:val="00504A69"/>
    <w:rsid w:val="00504F3D"/>
    <w:rsid w:val="00505EB5"/>
    <w:rsid w:val="005072A9"/>
    <w:rsid w:val="0051007C"/>
    <w:rsid w:val="00510280"/>
    <w:rsid w:val="00510AF0"/>
    <w:rsid w:val="00512206"/>
    <w:rsid w:val="00513779"/>
    <w:rsid w:val="00513B67"/>
    <w:rsid w:val="00513D73"/>
    <w:rsid w:val="00514A05"/>
    <w:rsid w:val="00514A43"/>
    <w:rsid w:val="0051512B"/>
    <w:rsid w:val="00515EAF"/>
    <w:rsid w:val="005167ED"/>
    <w:rsid w:val="005174E5"/>
    <w:rsid w:val="00517C94"/>
    <w:rsid w:val="00520A58"/>
    <w:rsid w:val="00521709"/>
    <w:rsid w:val="00522031"/>
    <w:rsid w:val="00522393"/>
    <w:rsid w:val="00522620"/>
    <w:rsid w:val="00522A1C"/>
    <w:rsid w:val="00522F9C"/>
    <w:rsid w:val="00525656"/>
    <w:rsid w:val="00526B28"/>
    <w:rsid w:val="00530C32"/>
    <w:rsid w:val="00533870"/>
    <w:rsid w:val="00534C02"/>
    <w:rsid w:val="005352F1"/>
    <w:rsid w:val="0053564F"/>
    <w:rsid w:val="005360DC"/>
    <w:rsid w:val="0053643B"/>
    <w:rsid w:val="0054264B"/>
    <w:rsid w:val="00543711"/>
    <w:rsid w:val="00543786"/>
    <w:rsid w:val="00545895"/>
    <w:rsid w:val="00545C81"/>
    <w:rsid w:val="00546F7A"/>
    <w:rsid w:val="0054711C"/>
    <w:rsid w:val="005533D7"/>
    <w:rsid w:val="00553EA6"/>
    <w:rsid w:val="00553EBA"/>
    <w:rsid w:val="00554301"/>
    <w:rsid w:val="00554615"/>
    <w:rsid w:val="0055545D"/>
    <w:rsid w:val="0055567B"/>
    <w:rsid w:val="00555D11"/>
    <w:rsid w:val="00556013"/>
    <w:rsid w:val="005574A8"/>
    <w:rsid w:val="00557EDB"/>
    <w:rsid w:val="00560CFC"/>
    <w:rsid w:val="00560EF6"/>
    <w:rsid w:val="00561B35"/>
    <w:rsid w:val="005628B7"/>
    <w:rsid w:val="0056666C"/>
    <w:rsid w:val="00566EBC"/>
    <w:rsid w:val="005703DE"/>
    <w:rsid w:val="00570892"/>
    <w:rsid w:val="00571E9F"/>
    <w:rsid w:val="00574204"/>
    <w:rsid w:val="00581E73"/>
    <w:rsid w:val="00583EA0"/>
    <w:rsid w:val="0058464E"/>
    <w:rsid w:val="00585C2B"/>
    <w:rsid w:val="005869B3"/>
    <w:rsid w:val="005906EE"/>
    <w:rsid w:val="0059229D"/>
    <w:rsid w:val="0059567F"/>
    <w:rsid w:val="00595944"/>
    <w:rsid w:val="005961D2"/>
    <w:rsid w:val="0059628B"/>
    <w:rsid w:val="00596CDE"/>
    <w:rsid w:val="005A01CB"/>
    <w:rsid w:val="005A0781"/>
    <w:rsid w:val="005A5358"/>
    <w:rsid w:val="005A55F9"/>
    <w:rsid w:val="005A58FF"/>
    <w:rsid w:val="005A5EAF"/>
    <w:rsid w:val="005A64C0"/>
    <w:rsid w:val="005B3842"/>
    <w:rsid w:val="005B3A9D"/>
    <w:rsid w:val="005B3C11"/>
    <w:rsid w:val="005B59CA"/>
    <w:rsid w:val="005C019F"/>
    <w:rsid w:val="005C02CD"/>
    <w:rsid w:val="005C0621"/>
    <w:rsid w:val="005C1C28"/>
    <w:rsid w:val="005C3D0A"/>
    <w:rsid w:val="005C463B"/>
    <w:rsid w:val="005C66F8"/>
    <w:rsid w:val="005C6DB5"/>
    <w:rsid w:val="005C6DD7"/>
    <w:rsid w:val="005C7608"/>
    <w:rsid w:val="005D274F"/>
    <w:rsid w:val="005D2C31"/>
    <w:rsid w:val="005D2F4A"/>
    <w:rsid w:val="005D5003"/>
    <w:rsid w:val="005D62D1"/>
    <w:rsid w:val="005E0272"/>
    <w:rsid w:val="005E0F02"/>
    <w:rsid w:val="005E103E"/>
    <w:rsid w:val="005E115E"/>
    <w:rsid w:val="005E19E7"/>
    <w:rsid w:val="005E19EE"/>
    <w:rsid w:val="005E3B47"/>
    <w:rsid w:val="005E401D"/>
    <w:rsid w:val="005E42C0"/>
    <w:rsid w:val="005E563E"/>
    <w:rsid w:val="005F0433"/>
    <w:rsid w:val="005F110F"/>
    <w:rsid w:val="005F2C88"/>
    <w:rsid w:val="005F38B6"/>
    <w:rsid w:val="005F4501"/>
    <w:rsid w:val="005F6582"/>
    <w:rsid w:val="0060138A"/>
    <w:rsid w:val="00601BA3"/>
    <w:rsid w:val="006070AE"/>
    <w:rsid w:val="00607823"/>
    <w:rsid w:val="00611588"/>
    <w:rsid w:val="00611ADE"/>
    <w:rsid w:val="00614451"/>
    <w:rsid w:val="006153EC"/>
    <w:rsid w:val="0061716C"/>
    <w:rsid w:val="006232FB"/>
    <w:rsid w:val="00623A7D"/>
    <w:rsid w:val="00623EB7"/>
    <w:rsid w:val="006243A1"/>
    <w:rsid w:val="00626BB8"/>
    <w:rsid w:val="00626E33"/>
    <w:rsid w:val="00631EB0"/>
    <w:rsid w:val="0063207E"/>
    <w:rsid w:val="00632E56"/>
    <w:rsid w:val="0063310B"/>
    <w:rsid w:val="0063331A"/>
    <w:rsid w:val="00633ED1"/>
    <w:rsid w:val="006358A3"/>
    <w:rsid w:val="00635CBA"/>
    <w:rsid w:val="00636B89"/>
    <w:rsid w:val="006409AA"/>
    <w:rsid w:val="00641F65"/>
    <w:rsid w:val="0064338B"/>
    <w:rsid w:val="00645601"/>
    <w:rsid w:val="00645C0D"/>
    <w:rsid w:val="00646542"/>
    <w:rsid w:val="00646F5D"/>
    <w:rsid w:val="00647FBB"/>
    <w:rsid w:val="006504F4"/>
    <w:rsid w:val="0065197D"/>
    <w:rsid w:val="00653471"/>
    <w:rsid w:val="00654732"/>
    <w:rsid w:val="00654BC9"/>
    <w:rsid w:val="00654E1C"/>
    <w:rsid w:val="006552FD"/>
    <w:rsid w:val="006567E2"/>
    <w:rsid w:val="00656BB4"/>
    <w:rsid w:val="006600EA"/>
    <w:rsid w:val="0066140D"/>
    <w:rsid w:val="00663AF3"/>
    <w:rsid w:val="00664173"/>
    <w:rsid w:val="0066493B"/>
    <w:rsid w:val="0066505F"/>
    <w:rsid w:val="0066683C"/>
    <w:rsid w:val="00666B6C"/>
    <w:rsid w:val="00670DD5"/>
    <w:rsid w:val="006711DB"/>
    <w:rsid w:val="00672526"/>
    <w:rsid w:val="00672BC3"/>
    <w:rsid w:val="00674E5C"/>
    <w:rsid w:val="00675251"/>
    <w:rsid w:val="00675EF3"/>
    <w:rsid w:val="006764AC"/>
    <w:rsid w:val="00680219"/>
    <w:rsid w:val="00681137"/>
    <w:rsid w:val="0068122C"/>
    <w:rsid w:val="00681C33"/>
    <w:rsid w:val="00682682"/>
    <w:rsid w:val="00682702"/>
    <w:rsid w:val="00683E72"/>
    <w:rsid w:val="0068502C"/>
    <w:rsid w:val="006862DC"/>
    <w:rsid w:val="00686684"/>
    <w:rsid w:val="0068736C"/>
    <w:rsid w:val="00687D00"/>
    <w:rsid w:val="0069057B"/>
    <w:rsid w:val="00692368"/>
    <w:rsid w:val="00692425"/>
    <w:rsid w:val="00692970"/>
    <w:rsid w:val="00694060"/>
    <w:rsid w:val="006954F1"/>
    <w:rsid w:val="00695D01"/>
    <w:rsid w:val="00695DB3"/>
    <w:rsid w:val="006A1D8E"/>
    <w:rsid w:val="006A2A1A"/>
    <w:rsid w:val="006A2B82"/>
    <w:rsid w:val="006A2EBC"/>
    <w:rsid w:val="006A5EA0"/>
    <w:rsid w:val="006A65CF"/>
    <w:rsid w:val="006A73D5"/>
    <w:rsid w:val="006A74EF"/>
    <w:rsid w:val="006A783B"/>
    <w:rsid w:val="006A7B33"/>
    <w:rsid w:val="006B179E"/>
    <w:rsid w:val="006B1BB9"/>
    <w:rsid w:val="006B217C"/>
    <w:rsid w:val="006B2FF3"/>
    <w:rsid w:val="006B4E13"/>
    <w:rsid w:val="006B5FD0"/>
    <w:rsid w:val="006B75DD"/>
    <w:rsid w:val="006B7761"/>
    <w:rsid w:val="006C004B"/>
    <w:rsid w:val="006C06F9"/>
    <w:rsid w:val="006C09F2"/>
    <w:rsid w:val="006C129D"/>
    <w:rsid w:val="006C1C65"/>
    <w:rsid w:val="006C67E0"/>
    <w:rsid w:val="006C7ABA"/>
    <w:rsid w:val="006D0D60"/>
    <w:rsid w:val="006D1122"/>
    <w:rsid w:val="006D396E"/>
    <w:rsid w:val="006D39E5"/>
    <w:rsid w:val="006D3C00"/>
    <w:rsid w:val="006D4ABD"/>
    <w:rsid w:val="006D6821"/>
    <w:rsid w:val="006D6848"/>
    <w:rsid w:val="006D7354"/>
    <w:rsid w:val="006D7500"/>
    <w:rsid w:val="006E14CE"/>
    <w:rsid w:val="006E2F21"/>
    <w:rsid w:val="006E2FB9"/>
    <w:rsid w:val="006E3675"/>
    <w:rsid w:val="006E3F5E"/>
    <w:rsid w:val="006E45F1"/>
    <w:rsid w:val="006E4A7F"/>
    <w:rsid w:val="006E4EDF"/>
    <w:rsid w:val="006E6176"/>
    <w:rsid w:val="006E61BB"/>
    <w:rsid w:val="006E7161"/>
    <w:rsid w:val="006F0068"/>
    <w:rsid w:val="006F098E"/>
    <w:rsid w:val="006F20DC"/>
    <w:rsid w:val="006F276F"/>
    <w:rsid w:val="006F2E6B"/>
    <w:rsid w:val="006F3A8F"/>
    <w:rsid w:val="006F43E0"/>
    <w:rsid w:val="006F4900"/>
    <w:rsid w:val="006F580A"/>
    <w:rsid w:val="006F7079"/>
    <w:rsid w:val="00700AD5"/>
    <w:rsid w:val="00701C86"/>
    <w:rsid w:val="0070278D"/>
    <w:rsid w:val="00702B52"/>
    <w:rsid w:val="00704DF6"/>
    <w:rsid w:val="007052BC"/>
    <w:rsid w:val="0070615F"/>
    <w:rsid w:val="00706492"/>
    <w:rsid w:val="0070651C"/>
    <w:rsid w:val="00706A2C"/>
    <w:rsid w:val="0070740B"/>
    <w:rsid w:val="00707868"/>
    <w:rsid w:val="007110F7"/>
    <w:rsid w:val="00711CCF"/>
    <w:rsid w:val="00712841"/>
    <w:rsid w:val="007132A3"/>
    <w:rsid w:val="00714878"/>
    <w:rsid w:val="00714B73"/>
    <w:rsid w:val="00715363"/>
    <w:rsid w:val="00716421"/>
    <w:rsid w:val="007168B9"/>
    <w:rsid w:val="00716B8A"/>
    <w:rsid w:val="00716E6A"/>
    <w:rsid w:val="007209B9"/>
    <w:rsid w:val="00720ACB"/>
    <w:rsid w:val="00720D68"/>
    <w:rsid w:val="007220A6"/>
    <w:rsid w:val="007224F1"/>
    <w:rsid w:val="00724EFB"/>
    <w:rsid w:val="00727212"/>
    <w:rsid w:val="007276BF"/>
    <w:rsid w:val="00730784"/>
    <w:rsid w:val="00730962"/>
    <w:rsid w:val="00734936"/>
    <w:rsid w:val="007374BC"/>
    <w:rsid w:val="007379CA"/>
    <w:rsid w:val="007419C3"/>
    <w:rsid w:val="00742A68"/>
    <w:rsid w:val="00744656"/>
    <w:rsid w:val="007451D0"/>
    <w:rsid w:val="0074559E"/>
    <w:rsid w:val="00745782"/>
    <w:rsid w:val="007467A7"/>
    <w:rsid w:val="007469DD"/>
    <w:rsid w:val="007472EA"/>
    <w:rsid w:val="0074741B"/>
    <w:rsid w:val="0074759E"/>
    <w:rsid w:val="007478EA"/>
    <w:rsid w:val="00750EF4"/>
    <w:rsid w:val="00752134"/>
    <w:rsid w:val="007526FB"/>
    <w:rsid w:val="00752FBD"/>
    <w:rsid w:val="0075415C"/>
    <w:rsid w:val="00755841"/>
    <w:rsid w:val="007562C8"/>
    <w:rsid w:val="007563A4"/>
    <w:rsid w:val="007608E3"/>
    <w:rsid w:val="00762334"/>
    <w:rsid w:val="00763502"/>
    <w:rsid w:val="007635A5"/>
    <w:rsid w:val="00764DDF"/>
    <w:rsid w:val="0076613A"/>
    <w:rsid w:val="00771500"/>
    <w:rsid w:val="00771DA6"/>
    <w:rsid w:val="0077299F"/>
    <w:rsid w:val="007735E5"/>
    <w:rsid w:val="007759D2"/>
    <w:rsid w:val="00775F56"/>
    <w:rsid w:val="0077683B"/>
    <w:rsid w:val="00777889"/>
    <w:rsid w:val="00780258"/>
    <w:rsid w:val="007814D1"/>
    <w:rsid w:val="007849E2"/>
    <w:rsid w:val="00785457"/>
    <w:rsid w:val="00787763"/>
    <w:rsid w:val="00791187"/>
    <w:rsid w:val="007913AB"/>
    <w:rsid w:val="007914F7"/>
    <w:rsid w:val="00791A00"/>
    <w:rsid w:val="00792196"/>
    <w:rsid w:val="00796A77"/>
    <w:rsid w:val="00796E64"/>
    <w:rsid w:val="007A010B"/>
    <w:rsid w:val="007A0F92"/>
    <w:rsid w:val="007A3AE8"/>
    <w:rsid w:val="007A5627"/>
    <w:rsid w:val="007A60C9"/>
    <w:rsid w:val="007B1625"/>
    <w:rsid w:val="007B247C"/>
    <w:rsid w:val="007B3F75"/>
    <w:rsid w:val="007B46FA"/>
    <w:rsid w:val="007B4DC3"/>
    <w:rsid w:val="007B6EE8"/>
    <w:rsid w:val="007B706E"/>
    <w:rsid w:val="007B71EB"/>
    <w:rsid w:val="007B7A7E"/>
    <w:rsid w:val="007C0958"/>
    <w:rsid w:val="007C0AD9"/>
    <w:rsid w:val="007C0B62"/>
    <w:rsid w:val="007C0C17"/>
    <w:rsid w:val="007C1B6F"/>
    <w:rsid w:val="007C1EDA"/>
    <w:rsid w:val="007C1F4E"/>
    <w:rsid w:val="007C2B03"/>
    <w:rsid w:val="007C3C5C"/>
    <w:rsid w:val="007C42DD"/>
    <w:rsid w:val="007C6021"/>
    <w:rsid w:val="007C6205"/>
    <w:rsid w:val="007C686A"/>
    <w:rsid w:val="007C728E"/>
    <w:rsid w:val="007D160D"/>
    <w:rsid w:val="007D173A"/>
    <w:rsid w:val="007D23BE"/>
    <w:rsid w:val="007D2C53"/>
    <w:rsid w:val="007D3D60"/>
    <w:rsid w:val="007D4243"/>
    <w:rsid w:val="007D4366"/>
    <w:rsid w:val="007D44AE"/>
    <w:rsid w:val="007D6FCD"/>
    <w:rsid w:val="007D7CB6"/>
    <w:rsid w:val="007E0417"/>
    <w:rsid w:val="007E1980"/>
    <w:rsid w:val="007E217F"/>
    <w:rsid w:val="007E2EA0"/>
    <w:rsid w:val="007E35D9"/>
    <w:rsid w:val="007E4A73"/>
    <w:rsid w:val="007E4B76"/>
    <w:rsid w:val="007E58D2"/>
    <w:rsid w:val="007E5EA8"/>
    <w:rsid w:val="007E611A"/>
    <w:rsid w:val="007E6B56"/>
    <w:rsid w:val="007E7728"/>
    <w:rsid w:val="007F0CF1"/>
    <w:rsid w:val="007F0DB3"/>
    <w:rsid w:val="007F12A5"/>
    <w:rsid w:val="007F1496"/>
    <w:rsid w:val="007F15F1"/>
    <w:rsid w:val="007F2817"/>
    <w:rsid w:val="007F4170"/>
    <w:rsid w:val="007F4CF1"/>
    <w:rsid w:val="007F5B87"/>
    <w:rsid w:val="007F6548"/>
    <w:rsid w:val="007F654E"/>
    <w:rsid w:val="007F758D"/>
    <w:rsid w:val="007F7D52"/>
    <w:rsid w:val="007F7E8C"/>
    <w:rsid w:val="00801635"/>
    <w:rsid w:val="0080259E"/>
    <w:rsid w:val="0080277D"/>
    <w:rsid w:val="008028C9"/>
    <w:rsid w:val="008031D6"/>
    <w:rsid w:val="008035C3"/>
    <w:rsid w:val="00804343"/>
    <w:rsid w:val="00804967"/>
    <w:rsid w:val="0080654C"/>
    <w:rsid w:val="008071C6"/>
    <w:rsid w:val="00810563"/>
    <w:rsid w:val="00811EA4"/>
    <w:rsid w:val="00813BC1"/>
    <w:rsid w:val="00814688"/>
    <w:rsid w:val="008153B0"/>
    <w:rsid w:val="008158C9"/>
    <w:rsid w:val="0081771F"/>
    <w:rsid w:val="00817991"/>
    <w:rsid w:val="00817A00"/>
    <w:rsid w:val="00820309"/>
    <w:rsid w:val="0082093B"/>
    <w:rsid w:val="00820E7B"/>
    <w:rsid w:val="00821886"/>
    <w:rsid w:val="00821968"/>
    <w:rsid w:val="00822237"/>
    <w:rsid w:val="008241D0"/>
    <w:rsid w:val="008254C7"/>
    <w:rsid w:val="008257FB"/>
    <w:rsid w:val="00833F77"/>
    <w:rsid w:val="00834943"/>
    <w:rsid w:val="008356C1"/>
    <w:rsid w:val="00835A4F"/>
    <w:rsid w:val="00835DB3"/>
    <w:rsid w:val="0083617B"/>
    <w:rsid w:val="008371BD"/>
    <w:rsid w:val="00840783"/>
    <w:rsid w:val="00842B7A"/>
    <w:rsid w:val="0084531E"/>
    <w:rsid w:val="008475FE"/>
    <w:rsid w:val="0084781A"/>
    <w:rsid w:val="00847F3A"/>
    <w:rsid w:val="008504A8"/>
    <w:rsid w:val="0085282E"/>
    <w:rsid w:val="00854120"/>
    <w:rsid w:val="00857F15"/>
    <w:rsid w:val="00857F3C"/>
    <w:rsid w:val="008603DC"/>
    <w:rsid w:val="00860DFE"/>
    <w:rsid w:val="008669CF"/>
    <w:rsid w:val="00866E4E"/>
    <w:rsid w:val="008701EE"/>
    <w:rsid w:val="0087198C"/>
    <w:rsid w:val="00871BF4"/>
    <w:rsid w:val="00872C1F"/>
    <w:rsid w:val="00872FED"/>
    <w:rsid w:val="00873B42"/>
    <w:rsid w:val="00876C71"/>
    <w:rsid w:val="00876FA4"/>
    <w:rsid w:val="00877012"/>
    <w:rsid w:val="00877327"/>
    <w:rsid w:val="0088021A"/>
    <w:rsid w:val="00880530"/>
    <w:rsid w:val="008813B2"/>
    <w:rsid w:val="00881622"/>
    <w:rsid w:val="00881E79"/>
    <w:rsid w:val="00883E32"/>
    <w:rsid w:val="008856D8"/>
    <w:rsid w:val="00886141"/>
    <w:rsid w:val="008868F6"/>
    <w:rsid w:val="00891341"/>
    <w:rsid w:val="008913BB"/>
    <w:rsid w:val="0089204A"/>
    <w:rsid w:val="0089217D"/>
    <w:rsid w:val="00892E82"/>
    <w:rsid w:val="0089582D"/>
    <w:rsid w:val="008A07E6"/>
    <w:rsid w:val="008A2D82"/>
    <w:rsid w:val="008A354B"/>
    <w:rsid w:val="008A3867"/>
    <w:rsid w:val="008A3892"/>
    <w:rsid w:val="008A433A"/>
    <w:rsid w:val="008A4BE4"/>
    <w:rsid w:val="008A5333"/>
    <w:rsid w:val="008A5487"/>
    <w:rsid w:val="008A63B6"/>
    <w:rsid w:val="008A6770"/>
    <w:rsid w:val="008A7154"/>
    <w:rsid w:val="008B234B"/>
    <w:rsid w:val="008B3804"/>
    <w:rsid w:val="008B5B07"/>
    <w:rsid w:val="008B7507"/>
    <w:rsid w:val="008B76A7"/>
    <w:rsid w:val="008B7D5E"/>
    <w:rsid w:val="008C1089"/>
    <w:rsid w:val="008C11A6"/>
    <w:rsid w:val="008C13FF"/>
    <w:rsid w:val="008C1B58"/>
    <w:rsid w:val="008C3520"/>
    <w:rsid w:val="008C39AE"/>
    <w:rsid w:val="008C590D"/>
    <w:rsid w:val="008C62B0"/>
    <w:rsid w:val="008D0721"/>
    <w:rsid w:val="008D0799"/>
    <w:rsid w:val="008D094F"/>
    <w:rsid w:val="008D0F1F"/>
    <w:rsid w:val="008D1427"/>
    <w:rsid w:val="008D14F4"/>
    <w:rsid w:val="008D418D"/>
    <w:rsid w:val="008D4554"/>
    <w:rsid w:val="008D5B89"/>
    <w:rsid w:val="008D6158"/>
    <w:rsid w:val="008D764E"/>
    <w:rsid w:val="008E031B"/>
    <w:rsid w:val="008E0599"/>
    <w:rsid w:val="008E0E13"/>
    <w:rsid w:val="008E0F95"/>
    <w:rsid w:val="008E2E0F"/>
    <w:rsid w:val="008E2F19"/>
    <w:rsid w:val="008E4738"/>
    <w:rsid w:val="008E5B19"/>
    <w:rsid w:val="008E5DF5"/>
    <w:rsid w:val="008E647C"/>
    <w:rsid w:val="008E7029"/>
    <w:rsid w:val="008E7EF6"/>
    <w:rsid w:val="008F1F98"/>
    <w:rsid w:val="008F207F"/>
    <w:rsid w:val="008F5580"/>
    <w:rsid w:val="008F6200"/>
    <w:rsid w:val="008F6758"/>
    <w:rsid w:val="008F694E"/>
    <w:rsid w:val="008F6A33"/>
    <w:rsid w:val="00900DC5"/>
    <w:rsid w:val="00901262"/>
    <w:rsid w:val="00901CDF"/>
    <w:rsid w:val="00902FFB"/>
    <w:rsid w:val="00903A23"/>
    <w:rsid w:val="009040DD"/>
    <w:rsid w:val="00904170"/>
    <w:rsid w:val="009057F1"/>
    <w:rsid w:val="00905B0B"/>
    <w:rsid w:val="00905B47"/>
    <w:rsid w:val="00905B48"/>
    <w:rsid w:val="009066C4"/>
    <w:rsid w:val="00907738"/>
    <w:rsid w:val="00911E95"/>
    <w:rsid w:val="00912004"/>
    <w:rsid w:val="0091331C"/>
    <w:rsid w:val="009137B3"/>
    <w:rsid w:val="0091434B"/>
    <w:rsid w:val="0091496E"/>
    <w:rsid w:val="00914A23"/>
    <w:rsid w:val="00914BD9"/>
    <w:rsid w:val="009153F6"/>
    <w:rsid w:val="0091663A"/>
    <w:rsid w:val="00916B0E"/>
    <w:rsid w:val="00916D32"/>
    <w:rsid w:val="0092079E"/>
    <w:rsid w:val="00920804"/>
    <w:rsid w:val="00924092"/>
    <w:rsid w:val="00924872"/>
    <w:rsid w:val="00926439"/>
    <w:rsid w:val="009268BB"/>
    <w:rsid w:val="009279DE"/>
    <w:rsid w:val="00927C2A"/>
    <w:rsid w:val="00927C55"/>
    <w:rsid w:val="00930116"/>
    <w:rsid w:val="009307A5"/>
    <w:rsid w:val="00930E7F"/>
    <w:rsid w:val="00932727"/>
    <w:rsid w:val="00932E6D"/>
    <w:rsid w:val="00933C10"/>
    <w:rsid w:val="00933F2D"/>
    <w:rsid w:val="00935826"/>
    <w:rsid w:val="00936C4B"/>
    <w:rsid w:val="009372FE"/>
    <w:rsid w:val="00937646"/>
    <w:rsid w:val="00937C11"/>
    <w:rsid w:val="00941010"/>
    <w:rsid w:val="009416F5"/>
    <w:rsid w:val="0094212C"/>
    <w:rsid w:val="0094295D"/>
    <w:rsid w:val="00945543"/>
    <w:rsid w:val="00946200"/>
    <w:rsid w:val="00946824"/>
    <w:rsid w:val="0094699F"/>
    <w:rsid w:val="00947EB7"/>
    <w:rsid w:val="009507EF"/>
    <w:rsid w:val="00951109"/>
    <w:rsid w:val="00951618"/>
    <w:rsid w:val="00951CAA"/>
    <w:rsid w:val="009527D0"/>
    <w:rsid w:val="009532AA"/>
    <w:rsid w:val="00953B4C"/>
    <w:rsid w:val="0095405D"/>
    <w:rsid w:val="00954689"/>
    <w:rsid w:val="00955B04"/>
    <w:rsid w:val="00956FD1"/>
    <w:rsid w:val="00957E6B"/>
    <w:rsid w:val="0096092A"/>
    <w:rsid w:val="00960A63"/>
    <w:rsid w:val="009617C9"/>
    <w:rsid w:val="00961C93"/>
    <w:rsid w:val="00961DD6"/>
    <w:rsid w:val="00965324"/>
    <w:rsid w:val="0096538D"/>
    <w:rsid w:val="009653AB"/>
    <w:rsid w:val="009662F3"/>
    <w:rsid w:val="00966D19"/>
    <w:rsid w:val="0097091E"/>
    <w:rsid w:val="00971904"/>
    <w:rsid w:val="00972005"/>
    <w:rsid w:val="0097297F"/>
    <w:rsid w:val="00972AD1"/>
    <w:rsid w:val="00974765"/>
    <w:rsid w:val="0097577F"/>
    <w:rsid w:val="009760D3"/>
    <w:rsid w:val="00976460"/>
    <w:rsid w:val="00977132"/>
    <w:rsid w:val="00977F7E"/>
    <w:rsid w:val="00980D59"/>
    <w:rsid w:val="00980DDD"/>
    <w:rsid w:val="00981A4B"/>
    <w:rsid w:val="00982501"/>
    <w:rsid w:val="009844AB"/>
    <w:rsid w:val="00984601"/>
    <w:rsid w:val="00985904"/>
    <w:rsid w:val="009877D3"/>
    <w:rsid w:val="00990991"/>
    <w:rsid w:val="00991736"/>
    <w:rsid w:val="00992ACC"/>
    <w:rsid w:val="00994E8F"/>
    <w:rsid w:val="009951DC"/>
    <w:rsid w:val="009959BB"/>
    <w:rsid w:val="00995A37"/>
    <w:rsid w:val="00996412"/>
    <w:rsid w:val="00996EA1"/>
    <w:rsid w:val="00997158"/>
    <w:rsid w:val="00997871"/>
    <w:rsid w:val="009A01FB"/>
    <w:rsid w:val="009A1AF2"/>
    <w:rsid w:val="009A30C0"/>
    <w:rsid w:val="009A3A7C"/>
    <w:rsid w:val="009A4443"/>
    <w:rsid w:val="009A457A"/>
    <w:rsid w:val="009A4D87"/>
    <w:rsid w:val="009A64C0"/>
    <w:rsid w:val="009A65A1"/>
    <w:rsid w:val="009A79FF"/>
    <w:rsid w:val="009B1A11"/>
    <w:rsid w:val="009B2ADB"/>
    <w:rsid w:val="009B310D"/>
    <w:rsid w:val="009B33AC"/>
    <w:rsid w:val="009B56A2"/>
    <w:rsid w:val="009B571F"/>
    <w:rsid w:val="009B603A"/>
    <w:rsid w:val="009B670B"/>
    <w:rsid w:val="009B7386"/>
    <w:rsid w:val="009C0A02"/>
    <w:rsid w:val="009C179D"/>
    <w:rsid w:val="009C17D9"/>
    <w:rsid w:val="009C1BA3"/>
    <w:rsid w:val="009C2D0E"/>
    <w:rsid w:val="009C2E57"/>
    <w:rsid w:val="009C3DAC"/>
    <w:rsid w:val="009C42E0"/>
    <w:rsid w:val="009C63BE"/>
    <w:rsid w:val="009D2F8C"/>
    <w:rsid w:val="009D38BF"/>
    <w:rsid w:val="009D43A9"/>
    <w:rsid w:val="009D4ECE"/>
    <w:rsid w:val="009D5362"/>
    <w:rsid w:val="009D740D"/>
    <w:rsid w:val="009D76AE"/>
    <w:rsid w:val="009E032C"/>
    <w:rsid w:val="009E1415"/>
    <w:rsid w:val="009E1F3C"/>
    <w:rsid w:val="009E41CD"/>
    <w:rsid w:val="009E438F"/>
    <w:rsid w:val="009E6116"/>
    <w:rsid w:val="009E6AC9"/>
    <w:rsid w:val="009E77FC"/>
    <w:rsid w:val="009E7E32"/>
    <w:rsid w:val="009F143D"/>
    <w:rsid w:val="009F300B"/>
    <w:rsid w:val="009F45DC"/>
    <w:rsid w:val="009F6E51"/>
    <w:rsid w:val="009F7EE5"/>
    <w:rsid w:val="00A00C72"/>
    <w:rsid w:val="00A017E2"/>
    <w:rsid w:val="00A018FF"/>
    <w:rsid w:val="00A01BC7"/>
    <w:rsid w:val="00A029C3"/>
    <w:rsid w:val="00A02E43"/>
    <w:rsid w:val="00A04513"/>
    <w:rsid w:val="00A04754"/>
    <w:rsid w:val="00A052A8"/>
    <w:rsid w:val="00A065F9"/>
    <w:rsid w:val="00A066F0"/>
    <w:rsid w:val="00A07F34"/>
    <w:rsid w:val="00A103F5"/>
    <w:rsid w:val="00A10795"/>
    <w:rsid w:val="00A10DDC"/>
    <w:rsid w:val="00A1299F"/>
    <w:rsid w:val="00A12F1A"/>
    <w:rsid w:val="00A13160"/>
    <w:rsid w:val="00A133FC"/>
    <w:rsid w:val="00A14AF8"/>
    <w:rsid w:val="00A16F64"/>
    <w:rsid w:val="00A22154"/>
    <w:rsid w:val="00A2263F"/>
    <w:rsid w:val="00A250F8"/>
    <w:rsid w:val="00A25741"/>
    <w:rsid w:val="00A25C38"/>
    <w:rsid w:val="00A265C4"/>
    <w:rsid w:val="00A27F4B"/>
    <w:rsid w:val="00A35019"/>
    <w:rsid w:val="00A358AD"/>
    <w:rsid w:val="00A35DFD"/>
    <w:rsid w:val="00A3682B"/>
    <w:rsid w:val="00A36BBE"/>
    <w:rsid w:val="00A37596"/>
    <w:rsid w:val="00A376D0"/>
    <w:rsid w:val="00A37C6E"/>
    <w:rsid w:val="00A4142D"/>
    <w:rsid w:val="00A4285D"/>
    <w:rsid w:val="00A4307A"/>
    <w:rsid w:val="00A4314F"/>
    <w:rsid w:val="00A43B31"/>
    <w:rsid w:val="00A45BEE"/>
    <w:rsid w:val="00A469FD"/>
    <w:rsid w:val="00A47EBB"/>
    <w:rsid w:val="00A51CDD"/>
    <w:rsid w:val="00A548B2"/>
    <w:rsid w:val="00A56AC8"/>
    <w:rsid w:val="00A60D8F"/>
    <w:rsid w:val="00A6114C"/>
    <w:rsid w:val="00A618C1"/>
    <w:rsid w:val="00A627C6"/>
    <w:rsid w:val="00A66231"/>
    <w:rsid w:val="00A662AA"/>
    <w:rsid w:val="00A6699F"/>
    <w:rsid w:val="00A66B5A"/>
    <w:rsid w:val="00A6730D"/>
    <w:rsid w:val="00A700F6"/>
    <w:rsid w:val="00A71625"/>
    <w:rsid w:val="00A71B9B"/>
    <w:rsid w:val="00A74C01"/>
    <w:rsid w:val="00A7505D"/>
    <w:rsid w:val="00A751C7"/>
    <w:rsid w:val="00A771E8"/>
    <w:rsid w:val="00A7727A"/>
    <w:rsid w:val="00A80ACB"/>
    <w:rsid w:val="00A80CF0"/>
    <w:rsid w:val="00A80D93"/>
    <w:rsid w:val="00A81BC1"/>
    <w:rsid w:val="00A82E38"/>
    <w:rsid w:val="00A84526"/>
    <w:rsid w:val="00A8488D"/>
    <w:rsid w:val="00A85182"/>
    <w:rsid w:val="00A86265"/>
    <w:rsid w:val="00A87844"/>
    <w:rsid w:val="00A9145C"/>
    <w:rsid w:val="00A91BFD"/>
    <w:rsid w:val="00A92047"/>
    <w:rsid w:val="00A9248F"/>
    <w:rsid w:val="00A92615"/>
    <w:rsid w:val="00A92999"/>
    <w:rsid w:val="00A9313D"/>
    <w:rsid w:val="00A933BA"/>
    <w:rsid w:val="00A94255"/>
    <w:rsid w:val="00A95697"/>
    <w:rsid w:val="00A95D2D"/>
    <w:rsid w:val="00A96100"/>
    <w:rsid w:val="00A9663D"/>
    <w:rsid w:val="00A96B9A"/>
    <w:rsid w:val="00A97C01"/>
    <w:rsid w:val="00AA038C"/>
    <w:rsid w:val="00AA0BBB"/>
    <w:rsid w:val="00AA1CD9"/>
    <w:rsid w:val="00AA2782"/>
    <w:rsid w:val="00AA3D35"/>
    <w:rsid w:val="00AA61F0"/>
    <w:rsid w:val="00AA6ACF"/>
    <w:rsid w:val="00AA70CB"/>
    <w:rsid w:val="00AA7A09"/>
    <w:rsid w:val="00AB0E56"/>
    <w:rsid w:val="00AB252C"/>
    <w:rsid w:val="00AB3B50"/>
    <w:rsid w:val="00AB42B7"/>
    <w:rsid w:val="00AB5BCC"/>
    <w:rsid w:val="00AB6AD4"/>
    <w:rsid w:val="00AC05B1"/>
    <w:rsid w:val="00AC2EFB"/>
    <w:rsid w:val="00AC30F9"/>
    <w:rsid w:val="00AC32FF"/>
    <w:rsid w:val="00AC36B7"/>
    <w:rsid w:val="00AC36CE"/>
    <w:rsid w:val="00AC3BFA"/>
    <w:rsid w:val="00AC4840"/>
    <w:rsid w:val="00AC53FF"/>
    <w:rsid w:val="00AC745D"/>
    <w:rsid w:val="00AC7897"/>
    <w:rsid w:val="00AD116B"/>
    <w:rsid w:val="00AD2633"/>
    <w:rsid w:val="00AD3494"/>
    <w:rsid w:val="00AD356C"/>
    <w:rsid w:val="00AD65BE"/>
    <w:rsid w:val="00AD756D"/>
    <w:rsid w:val="00AD790A"/>
    <w:rsid w:val="00AE01AD"/>
    <w:rsid w:val="00AE2914"/>
    <w:rsid w:val="00AE3FF1"/>
    <w:rsid w:val="00AE6D15"/>
    <w:rsid w:val="00AE7011"/>
    <w:rsid w:val="00AF0310"/>
    <w:rsid w:val="00AF1205"/>
    <w:rsid w:val="00AF15C5"/>
    <w:rsid w:val="00AF5C20"/>
    <w:rsid w:val="00AF5C8E"/>
    <w:rsid w:val="00AF7E50"/>
    <w:rsid w:val="00B02A61"/>
    <w:rsid w:val="00B03F9B"/>
    <w:rsid w:val="00B04182"/>
    <w:rsid w:val="00B05992"/>
    <w:rsid w:val="00B066DA"/>
    <w:rsid w:val="00B06BEB"/>
    <w:rsid w:val="00B071DC"/>
    <w:rsid w:val="00B07AE3"/>
    <w:rsid w:val="00B1103F"/>
    <w:rsid w:val="00B11185"/>
    <w:rsid w:val="00B11430"/>
    <w:rsid w:val="00B1257E"/>
    <w:rsid w:val="00B14EDF"/>
    <w:rsid w:val="00B16294"/>
    <w:rsid w:val="00B16F0C"/>
    <w:rsid w:val="00B16F42"/>
    <w:rsid w:val="00B20E12"/>
    <w:rsid w:val="00B22B1A"/>
    <w:rsid w:val="00B22CBB"/>
    <w:rsid w:val="00B234EB"/>
    <w:rsid w:val="00B246C0"/>
    <w:rsid w:val="00B26723"/>
    <w:rsid w:val="00B31F00"/>
    <w:rsid w:val="00B32A95"/>
    <w:rsid w:val="00B32B6D"/>
    <w:rsid w:val="00B33CBF"/>
    <w:rsid w:val="00B34277"/>
    <w:rsid w:val="00B34D74"/>
    <w:rsid w:val="00B34F5E"/>
    <w:rsid w:val="00B353EB"/>
    <w:rsid w:val="00B367D8"/>
    <w:rsid w:val="00B40228"/>
    <w:rsid w:val="00B4068B"/>
    <w:rsid w:val="00B42650"/>
    <w:rsid w:val="00B439C4"/>
    <w:rsid w:val="00B4535E"/>
    <w:rsid w:val="00B45C8D"/>
    <w:rsid w:val="00B468EC"/>
    <w:rsid w:val="00B46CD1"/>
    <w:rsid w:val="00B47AE8"/>
    <w:rsid w:val="00B51E11"/>
    <w:rsid w:val="00B52A8C"/>
    <w:rsid w:val="00B53860"/>
    <w:rsid w:val="00B56EA4"/>
    <w:rsid w:val="00B61B26"/>
    <w:rsid w:val="00B636A8"/>
    <w:rsid w:val="00B65E0F"/>
    <w:rsid w:val="00B665C6"/>
    <w:rsid w:val="00B6680F"/>
    <w:rsid w:val="00B671CA"/>
    <w:rsid w:val="00B70376"/>
    <w:rsid w:val="00B70CFC"/>
    <w:rsid w:val="00B74DBC"/>
    <w:rsid w:val="00B761B0"/>
    <w:rsid w:val="00B76212"/>
    <w:rsid w:val="00B77981"/>
    <w:rsid w:val="00B805AF"/>
    <w:rsid w:val="00B8074B"/>
    <w:rsid w:val="00B812D8"/>
    <w:rsid w:val="00B813F7"/>
    <w:rsid w:val="00B81D31"/>
    <w:rsid w:val="00B83354"/>
    <w:rsid w:val="00B83363"/>
    <w:rsid w:val="00B869EC"/>
    <w:rsid w:val="00B86FFA"/>
    <w:rsid w:val="00B87213"/>
    <w:rsid w:val="00B87F40"/>
    <w:rsid w:val="00B91575"/>
    <w:rsid w:val="00B91835"/>
    <w:rsid w:val="00B9374A"/>
    <w:rsid w:val="00B9397A"/>
    <w:rsid w:val="00B93C8B"/>
    <w:rsid w:val="00B955D3"/>
    <w:rsid w:val="00B96042"/>
    <w:rsid w:val="00B96225"/>
    <w:rsid w:val="00B96252"/>
    <w:rsid w:val="00B9633D"/>
    <w:rsid w:val="00B97029"/>
    <w:rsid w:val="00B9790D"/>
    <w:rsid w:val="00BA1479"/>
    <w:rsid w:val="00BA1E0B"/>
    <w:rsid w:val="00BA2EBE"/>
    <w:rsid w:val="00BA2ED3"/>
    <w:rsid w:val="00BA2F94"/>
    <w:rsid w:val="00BA41C0"/>
    <w:rsid w:val="00BA5885"/>
    <w:rsid w:val="00BA58E4"/>
    <w:rsid w:val="00BA6072"/>
    <w:rsid w:val="00BA6D23"/>
    <w:rsid w:val="00BA74E3"/>
    <w:rsid w:val="00BA780B"/>
    <w:rsid w:val="00BA7875"/>
    <w:rsid w:val="00BB03B8"/>
    <w:rsid w:val="00BB0493"/>
    <w:rsid w:val="00BB0778"/>
    <w:rsid w:val="00BB0F28"/>
    <w:rsid w:val="00BB1C0E"/>
    <w:rsid w:val="00BB23B2"/>
    <w:rsid w:val="00BB2C84"/>
    <w:rsid w:val="00BB458A"/>
    <w:rsid w:val="00BB761F"/>
    <w:rsid w:val="00BC1FF8"/>
    <w:rsid w:val="00BC28E4"/>
    <w:rsid w:val="00BC2F53"/>
    <w:rsid w:val="00BC5C64"/>
    <w:rsid w:val="00BC5EED"/>
    <w:rsid w:val="00BC774B"/>
    <w:rsid w:val="00BD00D3"/>
    <w:rsid w:val="00BD02BE"/>
    <w:rsid w:val="00BD0E70"/>
    <w:rsid w:val="00BD162E"/>
    <w:rsid w:val="00BD1659"/>
    <w:rsid w:val="00BD2967"/>
    <w:rsid w:val="00BD3AA9"/>
    <w:rsid w:val="00BD4A18"/>
    <w:rsid w:val="00BD5943"/>
    <w:rsid w:val="00BD6DB2"/>
    <w:rsid w:val="00BE04D6"/>
    <w:rsid w:val="00BE11CF"/>
    <w:rsid w:val="00BE1AFD"/>
    <w:rsid w:val="00BE21AB"/>
    <w:rsid w:val="00BE32E4"/>
    <w:rsid w:val="00BE4CD7"/>
    <w:rsid w:val="00BE52AA"/>
    <w:rsid w:val="00BE55CB"/>
    <w:rsid w:val="00BF1998"/>
    <w:rsid w:val="00BF1D71"/>
    <w:rsid w:val="00BF617A"/>
    <w:rsid w:val="00BF72DE"/>
    <w:rsid w:val="00C00060"/>
    <w:rsid w:val="00C02EB1"/>
    <w:rsid w:val="00C0379D"/>
    <w:rsid w:val="00C03931"/>
    <w:rsid w:val="00C03ACD"/>
    <w:rsid w:val="00C05043"/>
    <w:rsid w:val="00C05FE3"/>
    <w:rsid w:val="00C103FA"/>
    <w:rsid w:val="00C10FC2"/>
    <w:rsid w:val="00C1100E"/>
    <w:rsid w:val="00C11147"/>
    <w:rsid w:val="00C11EAE"/>
    <w:rsid w:val="00C1370B"/>
    <w:rsid w:val="00C13C55"/>
    <w:rsid w:val="00C14784"/>
    <w:rsid w:val="00C20C86"/>
    <w:rsid w:val="00C210D9"/>
    <w:rsid w:val="00C2136D"/>
    <w:rsid w:val="00C214EE"/>
    <w:rsid w:val="00C21FCA"/>
    <w:rsid w:val="00C22E6E"/>
    <w:rsid w:val="00C2314A"/>
    <w:rsid w:val="00C2314B"/>
    <w:rsid w:val="00C23421"/>
    <w:rsid w:val="00C23EF6"/>
    <w:rsid w:val="00C23FF5"/>
    <w:rsid w:val="00C245B0"/>
    <w:rsid w:val="00C24971"/>
    <w:rsid w:val="00C2599C"/>
    <w:rsid w:val="00C26BE5"/>
    <w:rsid w:val="00C26C8F"/>
    <w:rsid w:val="00C26E4D"/>
    <w:rsid w:val="00C27562"/>
    <w:rsid w:val="00C27909"/>
    <w:rsid w:val="00C27B03"/>
    <w:rsid w:val="00C27C23"/>
    <w:rsid w:val="00C3139D"/>
    <w:rsid w:val="00C314E1"/>
    <w:rsid w:val="00C31A9D"/>
    <w:rsid w:val="00C33562"/>
    <w:rsid w:val="00C34397"/>
    <w:rsid w:val="00C4095D"/>
    <w:rsid w:val="00C40EAE"/>
    <w:rsid w:val="00C43541"/>
    <w:rsid w:val="00C43888"/>
    <w:rsid w:val="00C44B90"/>
    <w:rsid w:val="00C45522"/>
    <w:rsid w:val="00C45CB4"/>
    <w:rsid w:val="00C45EF8"/>
    <w:rsid w:val="00C471B7"/>
    <w:rsid w:val="00C50EB5"/>
    <w:rsid w:val="00C51137"/>
    <w:rsid w:val="00C5142E"/>
    <w:rsid w:val="00C519CE"/>
    <w:rsid w:val="00C52BDC"/>
    <w:rsid w:val="00C5385D"/>
    <w:rsid w:val="00C54325"/>
    <w:rsid w:val="00C548B0"/>
    <w:rsid w:val="00C54AF2"/>
    <w:rsid w:val="00C579EA"/>
    <w:rsid w:val="00C601D2"/>
    <w:rsid w:val="00C60E76"/>
    <w:rsid w:val="00C63653"/>
    <w:rsid w:val="00C657AB"/>
    <w:rsid w:val="00C65BCC"/>
    <w:rsid w:val="00C65E0A"/>
    <w:rsid w:val="00C65F9A"/>
    <w:rsid w:val="00C65FF3"/>
    <w:rsid w:val="00C662BD"/>
    <w:rsid w:val="00C66970"/>
    <w:rsid w:val="00C70F5F"/>
    <w:rsid w:val="00C74283"/>
    <w:rsid w:val="00C74CE2"/>
    <w:rsid w:val="00C75ADB"/>
    <w:rsid w:val="00C763BF"/>
    <w:rsid w:val="00C77DDE"/>
    <w:rsid w:val="00C812F9"/>
    <w:rsid w:val="00C815A1"/>
    <w:rsid w:val="00C836D3"/>
    <w:rsid w:val="00C85D46"/>
    <w:rsid w:val="00C8691C"/>
    <w:rsid w:val="00C87A7D"/>
    <w:rsid w:val="00C87FA5"/>
    <w:rsid w:val="00C90786"/>
    <w:rsid w:val="00C90801"/>
    <w:rsid w:val="00C909A2"/>
    <w:rsid w:val="00C90CF1"/>
    <w:rsid w:val="00C91CA2"/>
    <w:rsid w:val="00C920D3"/>
    <w:rsid w:val="00C94F4C"/>
    <w:rsid w:val="00C950BF"/>
    <w:rsid w:val="00C9652D"/>
    <w:rsid w:val="00C966AE"/>
    <w:rsid w:val="00CA168A"/>
    <w:rsid w:val="00CA267F"/>
    <w:rsid w:val="00CA357E"/>
    <w:rsid w:val="00CA44F9"/>
    <w:rsid w:val="00CA499B"/>
    <w:rsid w:val="00CA4A69"/>
    <w:rsid w:val="00CA533E"/>
    <w:rsid w:val="00CA707C"/>
    <w:rsid w:val="00CB0717"/>
    <w:rsid w:val="00CB08BF"/>
    <w:rsid w:val="00CB38D9"/>
    <w:rsid w:val="00CB456F"/>
    <w:rsid w:val="00CB473A"/>
    <w:rsid w:val="00CB6341"/>
    <w:rsid w:val="00CB6D6E"/>
    <w:rsid w:val="00CC0AF0"/>
    <w:rsid w:val="00CC0B2A"/>
    <w:rsid w:val="00CC36CD"/>
    <w:rsid w:val="00CC3C91"/>
    <w:rsid w:val="00CC3E0C"/>
    <w:rsid w:val="00CC5737"/>
    <w:rsid w:val="00CC58D3"/>
    <w:rsid w:val="00CC6A24"/>
    <w:rsid w:val="00CC784D"/>
    <w:rsid w:val="00CD01B9"/>
    <w:rsid w:val="00CD23FD"/>
    <w:rsid w:val="00CD2F29"/>
    <w:rsid w:val="00CD4041"/>
    <w:rsid w:val="00CD4C74"/>
    <w:rsid w:val="00CD71E7"/>
    <w:rsid w:val="00CE2B06"/>
    <w:rsid w:val="00CE3064"/>
    <w:rsid w:val="00CE348C"/>
    <w:rsid w:val="00CE40FF"/>
    <w:rsid w:val="00CE7469"/>
    <w:rsid w:val="00CE751F"/>
    <w:rsid w:val="00CE7BE9"/>
    <w:rsid w:val="00CF10E4"/>
    <w:rsid w:val="00CF2574"/>
    <w:rsid w:val="00CF3966"/>
    <w:rsid w:val="00CF4151"/>
    <w:rsid w:val="00CF4968"/>
    <w:rsid w:val="00CF4A67"/>
    <w:rsid w:val="00CF5928"/>
    <w:rsid w:val="00CF6B57"/>
    <w:rsid w:val="00CF72E5"/>
    <w:rsid w:val="00D002DB"/>
    <w:rsid w:val="00D00EA2"/>
    <w:rsid w:val="00D01383"/>
    <w:rsid w:val="00D01FDE"/>
    <w:rsid w:val="00D02074"/>
    <w:rsid w:val="00D0337B"/>
    <w:rsid w:val="00D046E2"/>
    <w:rsid w:val="00D049D7"/>
    <w:rsid w:val="00D07279"/>
    <w:rsid w:val="00D079B2"/>
    <w:rsid w:val="00D114E9"/>
    <w:rsid w:val="00D138C5"/>
    <w:rsid w:val="00D163C3"/>
    <w:rsid w:val="00D1671D"/>
    <w:rsid w:val="00D21CF7"/>
    <w:rsid w:val="00D22CDF"/>
    <w:rsid w:val="00D230ED"/>
    <w:rsid w:val="00D25284"/>
    <w:rsid w:val="00D25F12"/>
    <w:rsid w:val="00D303B4"/>
    <w:rsid w:val="00D30E31"/>
    <w:rsid w:val="00D30F64"/>
    <w:rsid w:val="00D325FE"/>
    <w:rsid w:val="00D33F9D"/>
    <w:rsid w:val="00D342DE"/>
    <w:rsid w:val="00D34F99"/>
    <w:rsid w:val="00D37569"/>
    <w:rsid w:val="00D402C3"/>
    <w:rsid w:val="00D4061A"/>
    <w:rsid w:val="00D40AFE"/>
    <w:rsid w:val="00D41E43"/>
    <w:rsid w:val="00D427A5"/>
    <w:rsid w:val="00D429C6"/>
    <w:rsid w:val="00D43D21"/>
    <w:rsid w:val="00D44615"/>
    <w:rsid w:val="00D4557D"/>
    <w:rsid w:val="00D45B96"/>
    <w:rsid w:val="00D47518"/>
    <w:rsid w:val="00D47748"/>
    <w:rsid w:val="00D51C96"/>
    <w:rsid w:val="00D53AAC"/>
    <w:rsid w:val="00D53F4D"/>
    <w:rsid w:val="00D54CC3"/>
    <w:rsid w:val="00D54D7B"/>
    <w:rsid w:val="00D556AF"/>
    <w:rsid w:val="00D559DA"/>
    <w:rsid w:val="00D6041A"/>
    <w:rsid w:val="00D615E9"/>
    <w:rsid w:val="00D633EB"/>
    <w:rsid w:val="00D64CE4"/>
    <w:rsid w:val="00D65CE1"/>
    <w:rsid w:val="00D705C8"/>
    <w:rsid w:val="00D71252"/>
    <w:rsid w:val="00D71BE2"/>
    <w:rsid w:val="00D73AEB"/>
    <w:rsid w:val="00D74D20"/>
    <w:rsid w:val="00D813C8"/>
    <w:rsid w:val="00D81BF9"/>
    <w:rsid w:val="00D82048"/>
    <w:rsid w:val="00D82FF7"/>
    <w:rsid w:val="00D847FE"/>
    <w:rsid w:val="00D85D87"/>
    <w:rsid w:val="00D90B26"/>
    <w:rsid w:val="00D90FAF"/>
    <w:rsid w:val="00D90FF8"/>
    <w:rsid w:val="00D91225"/>
    <w:rsid w:val="00D9257B"/>
    <w:rsid w:val="00D925D8"/>
    <w:rsid w:val="00D94B63"/>
    <w:rsid w:val="00D95977"/>
    <w:rsid w:val="00D95D2B"/>
    <w:rsid w:val="00D964EA"/>
    <w:rsid w:val="00D966D0"/>
    <w:rsid w:val="00DA061B"/>
    <w:rsid w:val="00DA0C59"/>
    <w:rsid w:val="00DA2129"/>
    <w:rsid w:val="00DA3991"/>
    <w:rsid w:val="00DA3B6A"/>
    <w:rsid w:val="00DA4199"/>
    <w:rsid w:val="00DA4F80"/>
    <w:rsid w:val="00DB06AA"/>
    <w:rsid w:val="00DB174B"/>
    <w:rsid w:val="00DB3538"/>
    <w:rsid w:val="00DB45E4"/>
    <w:rsid w:val="00DB6257"/>
    <w:rsid w:val="00DB76C9"/>
    <w:rsid w:val="00DB78CE"/>
    <w:rsid w:val="00DB7939"/>
    <w:rsid w:val="00DB7BAC"/>
    <w:rsid w:val="00DB7E6C"/>
    <w:rsid w:val="00DC0386"/>
    <w:rsid w:val="00DC0E6E"/>
    <w:rsid w:val="00DC1066"/>
    <w:rsid w:val="00DC2973"/>
    <w:rsid w:val="00DC3964"/>
    <w:rsid w:val="00DC3DA8"/>
    <w:rsid w:val="00DC45B1"/>
    <w:rsid w:val="00DC51B5"/>
    <w:rsid w:val="00DC678B"/>
    <w:rsid w:val="00DD3675"/>
    <w:rsid w:val="00DD523A"/>
    <w:rsid w:val="00DD5A29"/>
    <w:rsid w:val="00DD5D9D"/>
    <w:rsid w:val="00DD644A"/>
    <w:rsid w:val="00DD7056"/>
    <w:rsid w:val="00DD7EA9"/>
    <w:rsid w:val="00DE15C2"/>
    <w:rsid w:val="00DE18CE"/>
    <w:rsid w:val="00DE1BAB"/>
    <w:rsid w:val="00DE35CB"/>
    <w:rsid w:val="00DE3FB0"/>
    <w:rsid w:val="00DE4068"/>
    <w:rsid w:val="00DE4410"/>
    <w:rsid w:val="00DE5CC6"/>
    <w:rsid w:val="00DE65CF"/>
    <w:rsid w:val="00DE6F2B"/>
    <w:rsid w:val="00DE7768"/>
    <w:rsid w:val="00DE7A81"/>
    <w:rsid w:val="00DF21E9"/>
    <w:rsid w:val="00DF4711"/>
    <w:rsid w:val="00DF5022"/>
    <w:rsid w:val="00DF6CC8"/>
    <w:rsid w:val="00DF6FE3"/>
    <w:rsid w:val="00DF79AB"/>
    <w:rsid w:val="00DF7FBB"/>
    <w:rsid w:val="00E00F14"/>
    <w:rsid w:val="00E01EB6"/>
    <w:rsid w:val="00E02DFB"/>
    <w:rsid w:val="00E04101"/>
    <w:rsid w:val="00E04710"/>
    <w:rsid w:val="00E04AD6"/>
    <w:rsid w:val="00E06386"/>
    <w:rsid w:val="00E10349"/>
    <w:rsid w:val="00E12CD6"/>
    <w:rsid w:val="00E15EC1"/>
    <w:rsid w:val="00E166CA"/>
    <w:rsid w:val="00E16F58"/>
    <w:rsid w:val="00E17649"/>
    <w:rsid w:val="00E20BDA"/>
    <w:rsid w:val="00E20C42"/>
    <w:rsid w:val="00E22058"/>
    <w:rsid w:val="00E22694"/>
    <w:rsid w:val="00E24EB4"/>
    <w:rsid w:val="00E259DF"/>
    <w:rsid w:val="00E263FB"/>
    <w:rsid w:val="00E2694C"/>
    <w:rsid w:val="00E27323"/>
    <w:rsid w:val="00E30305"/>
    <w:rsid w:val="00E309C9"/>
    <w:rsid w:val="00E320ED"/>
    <w:rsid w:val="00E32E64"/>
    <w:rsid w:val="00E32ECA"/>
    <w:rsid w:val="00E338A5"/>
    <w:rsid w:val="00E33AFB"/>
    <w:rsid w:val="00E34218"/>
    <w:rsid w:val="00E3454C"/>
    <w:rsid w:val="00E34F4F"/>
    <w:rsid w:val="00E3526B"/>
    <w:rsid w:val="00E40C3D"/>
    <w:rsid w:val="00E44EFE"/>
    <w:rsid w:val="00E45F0D"/>
    <w:rsid w:val="00E460F9"/>
    <w:rsid w:val="00E46282"/>
    <w:rsid w:val="00E46CC0"/>
    <w:rsid w:val="00E501CB"/>
    <w:rsid w:val="00E5216E"/>
    <w:rsid w:val="00E52605"/>
    <w:rsid w:val="00E54362"/>
    <w:rsid w:val="00E555BE"/>
    <w:rsid w:val="00E56472"/>
    <w:rsid w:val="00E5648E"/>
    <w:rsid w:val="00E56896"/>
    <w:rsid w:val="00E56D98"/>
    <w:rsid w:val="00E57078"/>
    <w:rsid w:val="00E57B0C"/>
    <w:rsid w:val="00E614DE"/>
    <w:rsid w:val="00E630F6"/>
    <w:rsid w:val="00E64077"/>
    <w:rsid w:val="00E649E8"/>
    <w:rsid w:val="00E66BEB"/>
    <w:rsid w:val="00E66F43"/>
    <w:rsid w:val="00E7062B"/>
    <w:rsid w:val="00E70C98"/>
    <w:rsid w:val="00E72315"/>
    <w:rsid w:val="00E73A75"/>
    <w:rsid w:val="00E75962"/>
    <w:rsid w:val="00E763B6"/>
    <w:rsid w:val="00E764E8"/>
    <w:rsid w:val="00E76E4D"/>
    <w:rsid w:val="00E806DA"/>
    <w:rsid w:val="00E82344"/>
    <w:rsid w:val="00E833F4"/>
    <w:rsid w:val="00E84205"/>
    <w:rsid w:val="00E84C82"/>
    <w:rsid w:val="00E84D64"/>
    <w:rsid w:val="00E8510A"/>
    <w:rsid w:val="00E87408"/>
    <w:rsid w:val="00E914C4"/>
    <w:rsid w:val="00E91FDB"/>
    <w:rsid w:val="00E924E2"/>
    <w:rsid w:val="00E92EF8"/>
    <w:rsid w:val="00E934F5"/>
    <w:rsid w:val="00E9376F"/>
    <w:rsid w:val="00E9393D"/>
    <w:rsid w:val="00E94BB9"/>
    <w:rsid w:val="00E959A5"/>
    <w:rsid w:val="00E96751"/>
    <w:rsid w:val="00E96800"/>
    <w:rsid w:val="00E96961"/>
    <w:rsid w:val="00E969CE"/>
    <w:rsid w:val="00EA1ACE"/>
    <w:rsid w:val="00EA258E"/>
    <w:rsid w:val="00EA2642"/>
    <w:rsid w:val="00EA72EC"/>
    <w:rsid w:val="00EA7A22"/>
    <w:rsid w:val="00EB11CB"/>
    <w:rsid w:val="00EB11E6"/>
    <w:rsid w:val="00EB275A"/>
    <w:rsid w:val="00EB2953"/>
    <w:rsid w:val="00EB4CAA"/>
    <w:rsid w:val="00EB51FE"/>
    <w:rsid w:val="00EB5909"/>
    <w:rsid w:val="00EB6D07"/>
    <w:rsid w:val="00EB70B0"/>
    <w:rsid w:val="00EB7857"/>
    <w:rsid w:val="00EB786A"/>
    <w:rsid w:val="00EC0A92"/>
    <w:rsid w:val="00EC1578"/>
    <w:rsid w:val="00EC1C72"/>
    <w:rsid w:val="00EC30D4"/>
    <w:rsid w:val="00EC3511"/>
    <w:rsid w:val="00EC3CC9"/>
    <w:rsid w:val="00EC4565"/>
    <w:rsid w:val="00EC5027"/>
    <w:rsid w:val="00EC5CAF"/>
    <w:rsid w:val="00EC680A"/>
    <w:rsid w:val="00EC7457"/>
    <w:rsid w:val="00ED025F"/>
    <w:rsid w:val="00ED153F"/>
    <w:rsid w:val="00ED5E3B"/>
    <w:rsid w:val="00ED658C"/>
    <w:rsid w:val="00EE2281"/>
    <w:rsid w:val="00EE2BED"/>
    <w:rsid w:val="00EE3208"/>
    <w:rsid w:val="00EE374B"/>
    <w:rsid w:val="00EF179C"/>
    <w:rsid w:val="00EF2E25"/>
    <w:rsid w:val="00EF4437"/>
    <w:rsid w:val="00EF48B4"/>
    <w:rsid w:val="00EF5A04"/>
    <w:rsid w:val="00EF5F0B"/>
    <w:rsid w:val="00F007A9"/>
    <w:rsid w:val="00F01CA0"/>
    <w:rsid w:val="00F02FCD"/>
    <w:rsid w:val="00F031FF"/>
    <w:rsid w:val="00F0568F"/>
    <w:rsid w:val="00F06431"/>
    <w:rsid w:val="00F10ACB"/>
    <w:rsid w:val="00F10C25"/>
    <w:rsid w:val="00F11BB5"/>
    <w:rsid w:val="00F11C9E"/>
    <w:rsid w:val="00F12794"/>
    <w:rsid w:val="00F1417B"/>
    <w:rsid w:val="00F153BE"/>
    <w:rsid w:val="00F15D4C"/>
    <w:rsid w:val="00F1690F"/>
    <w:rsid w:val="00F17B66"/>
    <w:rsid w:val="00F21924"/>
    <w:rsid w:val="00F21EC9"/>
    <w:rsid w:val="00F24594"/>
    <w:rsid w:val="00F246EC"/>
    <w:rsid w:val="00F25786"/>
    <w:rsid w:val="00F27019"/>
    <w:rsid w:val="00F271D4"/>
    <w:rsid w:val="00F34B99"/>
    <w:rsid w:val="00F36218"/>
    <w:rsid w:val="00F36276"/>
    <w:rsid w:val="00F36557"/>
    <w:rsid w:val="00F36F3B"/>
    <w:rsid w:val="00F37E95"/>
    <w:rsid w:val="00F42524"/>
    <w:rsid w:val="00F425F4"/>
    <w:rsid w:val="00F4307B"/>
    <w:rsid w:val="00F430D0"/>
    <w:rsid w:val="00F43E4C"/>
    <w:rsid w:val="00F43E9B"/>
    <w:rsid w:val="00F44835"/>
    <w:rsid w:val="00F44DB7"/>
    <w:rsid w:val="00F45FDD"/>
    <w:rsid w:val="00F5009F"/>
    <w:rsid w:val="00F50192"/>
    <w:rsid w:val="00F507E1"/>
    <w:rsid w:val="00F51DE3"/>
    <w:rsid w:val="00F52DAB"/>
    <w:rsid w:val="00F53151"/>
    <w:rsid w:val="00F5316F"/>
    <w:rsid w:val="00F53871"/>
    <w:rsid w:val="00F543BD"/>
    <w:rsid w:val="00F543F0"/>
    <w:rsid w:val="00F54FA6"/>
    <w:rsid w:val="00F5589B"/>
    <w:rsid w:val="00F561D6"/>
    <w:rsid w:val="00F57369"/>
    <w:rsid w:val="00F574AE"/>
    <w:rsid w:val="00F6081E"/>
    <w:rsid w:val="00F6220B"/>
    <w:rsid w:val="00F624F1"/>
    <w:rsid w:val="00F63CF7"/>
    <w:rsid w:val="00F64379"/>
    <w:rsid w:val="00F65472"/>
    <w:rsid w:val="00F66B65"/>
    <w:rsid w:val="00F679D3"/>
    <w:rsid w:val="00F7072C"/>
    <w:rsid w:val="00F72104"/>
    <w:rsid w:val="00F72E21"/>
    <w:rsid w:val="00F73D77"/>
    <w:rsid w:val="00F74397"/>
    <w:rsid w:val="00F758D7"/>
    <w:rsid w:val="00F7676A"/>
    <w:rsid w:val="00F76E6E"/>
    <w:rsid w:val="00F8113E"/>
    <w:rsid w:val="00F81A95"/>
    <w:rsid w:val="00F81AF8"/>
    <w:rsid w:val="00F81D29"/>
    <w:rsid w:val="00F877EC"/>
    <w:rsid w:val="00F91C4D"/>
    <w:rsid w:val="00F928DF"/>
    <w:rsid w:val="00F92994"/>
    <w:rsid w:val="00F92FD9"/>
    <w:rsid w:val="00F94405"/>
    <w:rsid w:val="00F9465F"/>
    <w:rsid w:val="00F94F1F"/>
    <w:rsid w:val="00F96385"/>
    <w:rsid w:val="00F96CFA"/>
    <w:rsid w:val="00FA354F"/>
    <w:rsid w:val="00FA3F43"/>
    <w:rsid w:val="00FA448D"/>
    <w:rsid w:val="00FA46C5"/>
    <w:rsid w:val="00FA556F"/>
    <w:rsid w:val="00FA62D7"/>
    <w:rsid w:val="00FA6684"/>
    <w:rsid w:val="00FA6C29"/>
    <w:rsid w:val="00FA6D51"/>
    <w:rsid w:val="00FA731E"/>
    <w:rsid w:val="00FB084F"/>
    <w:rsid w:val="00FB15EB"/>
    <w:rsid w:val="00FB16FC"/>
    <w:rsid w:val="00FB2B38"/>
    <w:rsid w:val="00FB4B24"/>
    <w:rsid w:val="00FB4BF6"/>
    <w:rsid w:val="00FB4C7E"/>
    <w:rsid w:val="00FB4CBE"/>
    <w:rsid w:val="00FB5CDD"/>
    <w:rsid w:val="00FB72F4"/>
    <w:rsid w:val="00FC25FB"/>
    <w:rsid w:val="00FC29DD"/>
    <w:rsid w:val="00FC3C16"/>
    <w:rsid w:val="00FC6358"/>
    <w:rsid w:val="00FC64B6"/>
    <w:rsid w:val="00FC7104"/>
    <w:rsid w:val="00FC71CF"/>
    <w:rsid w:val="00FC7FC0"/>
    <w:rsid w:val="00FD231C"/>
    <w:rsid w:val="00FD28A0"/>
    <w:rsid w:val="00FD28BD"/>
    <w:rsid w:val="00FD29DE"/>
    <w:rsid w:val="00FD2CE5"/>
    <w:rsid w:val="00FD320D"/>
    <w:rsid w:val="00FD5035"/>
    <w:rsid w:val="00FD564C"/>
    <w:rsid w:val="00FD5D01"/>
    <w:rsid w:val="00FD7D75"/>
    <w:rsid w:val="00FE008E"/>
    <w:rsid w:val="00FE1A46"/>
    <w:rsid w:val="00FE23DE"/>
    <w:rsid w:val="00FE2EAD"/>
    <w:rsid w:val="00FE4038"/>
    <w:rsid w:val="00FE4335"/>
    <w:rsid w:val="00FE4905"/>
    <w:rsid w:val="00FE5CBC"/>
    <w:rsid w:val="00FE632B"/>
    <w:rsid w:val="00FE769A"/>
    <w:rsid w:val="00FF0E09"/>
    <w:rsid w:val="00FF1E58"/>
    <w:rsid w:val="00FF2BD5"/>
    <w:rsid w:val="00FF4539"/>
    <w:rsid w:val="00FF5D8F"/>
    <w:rsid w:val="00FF5F11"/>
    <w:rsid w:val="00FF7F77"/>
    <w:rsid w:val="0150304C"/>
    <w:rsid w:val="019462D8"/>
    <w:rsid w:val="0224793B"/>
    <w:rsid w:val="02B067B9"/>
    <w:rsid w:val="02B316A4"/>
    <w:rsid w:val="02CA2767"/>
    <w:rsid w:val="02EC6B73"/>
    <w:rsid w:val="0349312C"/>
    <w:rsid w:val="035D690E"/>
    <w:rsid w:val="03C9092D"/>
    <w:rsid w:val="03CC1EC1"/>
    <w:rsid w:val="047A7A15"/>
    <w:rsid w:val="04A647CA"/>
    <w:rsid w:val="04A76C08"/>
    <w:rsid w:val="04CF09E2"/>
    <w:rsid w:val="05056E89"/>
    <w:rsid w:val="055C64B1"/>
    <w:rsid w:val="059C53E2"/>
    <w:rsid w:val="060914B4"/>
    <w:rsid w:val="061A75BF"/>
    <w:rsid w:val="06433C8D"/>
    <w:rsid w:val="067357FE"/>
    <w:rsid w:val="067A461C"/>
    <w:rsid w:val="06EC0D0D"/>
    <w:rsid w:val="072223B0"/>
    <w:rsid w:val="07462294"/>
    <w:rsid w:val="077114C6"/>
    <w:rsid w:val="082A0E29"/>
    <w:rsid w:val="08495387"/>
    <w:rsid w:val="085164DA"/>
    <w:rsid w:val="086C6B86"/>
    <w:rsid w:val="089F6710"/>
    <w:rsid w:val="08A76126"/>
    <w:rsid w:val="08A96ACA"/>
    <w:rsid w:val="092D5507"/>
    <w:rsid w:val="09306E6B"/>
    <w:rsid w:val="0967610E"/>
    <w:rsid w:val="09780068"/>
    <w:rsid w:val="09846823"/>
    <w:rsid w:val="0989174C"/>
    <w:rsid w:val="09945539"/>
    <w:rsid w:val="09CD1C4C"/>
    <w:rsid w:val="09CF69A6"/>
    <w:rsid w:val="09F448AB"/>
    <w:rsid w:val="0A0744E4"/>
    <w:rsid w:val="0A597992"/>
    <w:rsid w:val="0A5A22BF"/>
    <w:rsid w:val="0AD13D89"/>
    <w:rsid w:val="0B4B11A6"/>
    <w:rsid w:val="0B7F76A2"/>
    <w:rsid w:val="0B9265F1"/>
    <w:rsid w:val="0B9B4839"/>
    <w:rsid w:val="0B9E10CF"/>
    <w:rsid w:val="0BB84DE3"/>
    <w:rsid w:val="0C1F2109"/>
    <w:rsid w:val="0C4E567A"/>
    <w:rsid w:val="0C913DEE"/>
    <w:rsid w:val="0C947E5F"/>
    <w:rsid w:val="0CF7142B"/>
    <w:rsid w:val="0D97642D"/>
    <w:rsid w:val="0DFF399E"/>
    <w:rsid w:val="0E1C38AB"/>
    <w:rsid w:val="0E577311"/>
    <w:rsid w:val="0E5E5E21"/>
    <w:rsid w:val="0EE91434"/>
    <w:rsid w:val="0F072BDE"/>
    <w:rsid w:val="0F43576C"/>
    <w:rsid w:val="0F9D24BF"/>
    <w:rsid w:val="0FA10496"/>
    <w:rsid w:val="10182702"/>
    <w:rsid w:val="10D6123B"/>
    <w:rsid w:val="114D35BA"/>
    <w:rsid w:val="11EC41BD"/>
    <w:rsid w:val="124C614F"/>
    <w:rsid w:val="12710E53"/>
    <w:rsid w:val="12934EF8"/>
    <w:rsid w:val="12EE7399"/>
    <w:rsid w:val="140528D1"/>
    <w:rsid w:val="14097274"/>
    <w:rsid w:val="141639B3"/>
    <w:rsid w:val="14255807"/>
    <w:rsid w:val="14A20816"/>
    <w:rsid w:val="14A81E98"/>
    <w:rsid w:val="14BB196B"/>
    <w:rsid w:val="14C25FC8"/>
    <w:rsid w:val="14F77850"/>
    <w:rsid w:val="15AC5FA9"/>
    <w:rsid w:val="15D25215"/>
    <w:rsid w:val="16013F56"/>
    <w:rsid w:val="16230AF8"/>
    <w:rsid w:val="16361726"/>
    <w:rsid w:val="16575922"/>
    <w:rsid w:val="16A234E5"/>
    <w:rsid w:val="16BC7AA4"/>
    <w:rsid w:val="16E13075"/>
    <w:rsid w:val="17832659"/>
    <w:rsid w:val="17AA23CB"/>
    <w:rsid w:val="17C8044B"/>
    <w:rsid w:val="17DD335A"/>
    <w:rsid w:val="17DF4EF7"/>
    <w:rsid w:val="17E56F60"/>
    <w:rsid w:val="17EE22B8"/>
    <w:rsid w:val="1803203B"/>
    <w:rsid w:val="18B54CC6"/>
    <w:rsid w:val="18D7653D"/>
    <w:rsid w:val="19375EE1"/>
    <w:rsid w:val="194B7296"/>
    <w:rsid w:val="197A5EE2"/>
    <w:rsid w:val="198E5CD8"/>
    <w:rsid w:val="199943E8"/>
    <w:rsid w:val="19A215AC"/>
    <w:rsid w:val="19D374F7"/>
    <w:rsid w:val="19E47D96"/>
    <w:rsid w:val="1AAB1F34"/>
    <w:rsid w:val="1AC27A2C"/>
    <w:rsid w:val="1AC72E5E"/>
    <w:rsid w:val="1ACF3437"/>
    <w:rsid w:val="1B0502A3"/>
    <w:rsid w:val="1B11316E"/>
    <w:rsid w:val="1BC30A75"/>
    <w:rsid w:val="1BCD6A16"/>
    <w:rsid w:val="1BD1742A"/>
    <w:rsid w:val="1C9E475A"/>
    <w:rsid w:val="1CAF05D8"/>
    <w:rsid w:val="1E3F56F2"/>
    <w:rsid w:val="1E627E08"/>
    <w:rsid w:val="1E761259"/>
    <w:rsid w:val="1E8769C3"/>
    <w:rsid w:val="1EAD25BA"/>
    <w:rsid w:val="1EB8717C"/>
    <w:rsid w:val="1EBD39EB"/>
    <w:rsid w:val="1EC31EE6"/>
    <w:rsid w:val="1F255C2C"/>
    <w:rsid w:val="1F2B0D22"/>
    <w:rsid w:val="1F5F3A9B"/>
    <w:rsid w:val="1FC6184D"/>
    <w:rsid w:val="21033CDA"/>
    <w:rsid w:val="21B25153"/>
    <w:rsid w:val="231D30E1"/>
    <w:rsid w:val="23885661"/>
    <w:rsid w:val="23EC006D"/>
    <w:rsid w:val="2402360E"/>
    <w:rsid w:val="243427F4"/>
    <w:rsid w:val="2453153F"/>
    <w:rsid w:val="249648DB"/>
    <w:rsid w:val="24DB180A"/>
    <w:rsid w:val="2515647A"/>
    <w:rsid w:val="252C2672"/>
    <w:rsid w:val="25543A3C"/>
    <w:rsid w:val="25583640"/>
    <w:rsid w:val="25585735"/>
    <w:rsid w:val="257639A7"/>
    <w:rsid w:val="258056FB"/>
    <w:rsid w:val="25936B10"/>
    <w:rsid w:val="25EA4D80"/>
    <w:rsid w:val="262A0199"/>
    <w:rsid w:val="26345092"/>
    <w:rsid w:val="265C0D35"/>
    <w:rsid w:val="26A15DC2"/>
    <w:rsid w:val="26CF1D36"/>
    <w:rsid w:val="26EE1644"/>
    <w:rsid w:val="26FD1528"/>
    <w:rsid w:val="27170FF3"/>
    <w:rsid w:val="277D119A"/>
    <w:rsid w:val="27A6670B"/>
    <w:rsid w:val="27BD7D7A"/>
    <w:rsid w:val="27C90D79"/>
    <w:rsid w:val="27CB6172"/>
    <w:rsid w:val="27E50DBB"/>
    <w:rsid w:val="28AF07A1"/>
    <w:rsid w:val="28CD5EF1"/>
    <w:rsid w:val="28DF58AA"/>
    <w:rsid w:val="28E44265"/>
    <w:rsid w:val="28F51F8E"/>
    <w:rsid w:val="29537292"/>
    <w:rsid w:val="29712D49"/>
    <w:rsid w:val="29784F41"/>
    <w:rsid w:val="29EA5400"/>
    <w:rsid w:val="2A4D4EF5"/>
    <w:rsid w:val="2A645F62"/>
    <w:rsid w:val="2AA347A2"/>
    <w:rsid w:val="2AA611AC"/>
    <w:rsid w:val="2AA92FDF"/>
    <w:rsid w:val="2ABE0B9D"/>
    <w:rsid w:val="2AD81942"/>
    <w:rsid w:val="2AED576D"/>
    <w:rsid w:val="2AEF07DF"/>
    <w:rsid w:val="2B1C3AE9"/>
    <w:rsid w:val="2B400609"/>
    <w:rsid w:val="2B4324C3"/>
    <w:rsid w:val="2B6924D5"/>
    <w:rsid w:val="2B762277"/>
    <w:rsid w:val="2BA2368E"/>
    <w:rsid w:val="2BBD2A26"/>
    <w:rsid w:val="2BC85A17"/>
    <w:rsid w:val="2BD930D4"/>
    <w:rsid w:val="2BF20A6C"/>
    <w:rsid w:val="2C2F48DC"/>
    <w:rsid w:val="2C4C5002"/>
    <w:rsid w:val="2C5F7455"/>
    <w:rsid w:val="2C7132E3"/>
    <w:rsid w:val="2CE850D0"/>
    <w:rsid w:val="2D6844C5"/>
    <w:rsid w:val="2DEE70D5"/>
    <w:rsid w:val="2E1331B4"/>
    <w:rsid w:val="2E190FA2"/>
    <w:rsid w:val="2E1D2851"/>
    <w:rsid w:val="2E601027"/>
    <w:rsid w:val="2E611B2C"/>
    <w:rsid w:val="2ECE052C"/>
    <w:rsid w:val="2ED22B56"/>
    <w:rsid w:val="2EDF2503"/>
    <w:rsid w:val="2F040362"/>
    <w:rsid w:val="2F0F2DE8"/>
    <w:rsid w:val="2F14482B"/>
    <w:rsid w:val="2F2A20B3"/>
    <w:rsid w:val="2F6534D3"/>
    <w:rsid w:val="2F8638F0"/>
    <w:rsid w:val="2F8F1C84"/>
    <w:rsid w:val="2FE979B1"/>
    <w:rsid w:val="2FF66144"/>
    <w:rsid w:val="3019022C"/>
    <w:rsid w:val="301A4DA2"/>
    <w:rsid w:val="3025711B"/>
    <w:rsid w:val="304B42F4"/>
    <w:rsid w:val="305C5C47"/>
    <w:rsid w:val="308800B1"/>
    <w:rsid w:val="308B1DF4"/>
    <w:rsid w:val="31102E6F"/>
    <w:rsid w:val="31563118"/>
    <w:rsid w:val="31933DEF"/>
    <w:rsid w:val="31C72D31"/>
    <w:rsid w:val="320B6782"/>
    <w:rsid w:val="32936C31"/>
    <w:rsid w:val="32954354"/>
    <w:rsid w:val="32A90281"/>
    <w:rsid w:val="32B65A67"/>
    <w:rsid w:val="32E7391D"/>
    <w:rsid w:val="32E8768D"/>
    <w:rsid w:val="3301513E"/>
    <w:rsid w:val="33096CA6"/>
    <w:rsid w:val="33A05600"/>
    <w:rsid w:val="33C2715A"/>
    <w:rsid w:val="33E87808"/>
    <w:rsid w:val="33FD0082"/>
    <w:rsid w:val="3401222E"/>
    <w:rsid w:val="341870F1"/>
    <w:rsid w:val="341C75D1"/>
    <w:rsid w:val="344D34A9"/>
    <w:rsid w:val="34545833"/>
    <w:rsid w:val="345556BB"/>
    <w:rsid w:val="347F5750"/>
    <w:rsid w:val="34DF39FC"/>
    <w:rsid w:val="35835710"/>
    <w:rsid w:val="359C0139"/>
    <w:rsid w:val="35A03C36"/>
    <w:rsid w:val="35DE2177"/>
    <w:rsid w:val="35F3215E"/>
    <w:rsid w:val="36744A0F"/>
    <w:rsid w:val="36A55DE0"/>
    <w:rsid w:val="36AA1648"/>
    <w:rsid w:val="36B84A4B"/>
    <w:rsid w:val="36EF34FF"/>
    <w:rsid w:val="37027C5A"/>
    <w:rsid w:val="37765BFE"/>
    <w:rsid w:val="37FC7082"/>
    <w:rsid w:val="38476175"/>
    <w:rsid w:val="385D0A55"/>
    <w:rsid w:val="38E70932"/>
    <w:rsid w:val="38F94277"/>
    <w:rsid w:val="3A15654E"/>
    <w:rsid w:val="3A457352"/>
    <w:rsid w:val="3A851681"/>
    <w:rsid w:val="3AB6680E"/>
    <w:rsid w:val="3BE63541"/>
    <w:rsid w:val="3BEB0F96"/>
    <w:rsid w:val="3C1B13E5"/>
    <w:rsid w:val="3CF70ECC"/>
    <w:rsid w:val="3CF94F5F"/>
    <w:rsid w:val="3D010E4C"/>
    <w:rsid w:val="3D180CCC"/>
    <w:rsid w:val="3D500F45"/>
    <w:rsid w:val="3D66406F"/>
    <w:rsid w:val="3DD26AD3"/>
    <w:rsid w:val="3DEB2C72"/>
    <w:rsid w:val="3E2B35C6"/>
    <w:rsid w:val="3E5E0E60"/>
    <w:rsid w:val="3ED57F8E"/>
    <w:rsid w:val="3F3B1FFF"/>
    <w:rsid w:val="3FC217B1"/>
    <w:rsid w:val="408E54A2"/>
    <w:rsid w:val="4123596E"/>
    <w:rsid w:val="413333D6"/>
    <w:rsid w:val="413F355E"/>
    <w:rsid w:val="41585780"/>
    <w:rsid w:val="41AE2885"/>
    <w:rsid w:val="41D7741B"/>
    <w:rsid w:val="41D77790"/>
    <w:rsid w:val="41EB0A90"/>
    <w:rsid w:val="42097B6B"/>
    <w:rsid w:val="423D7B6A"/>
    <w:rsid w:val="42F61457"/>
    <w:rsid w:val="42F67BF6"/>
    <w:rsid w:val="431C2FC1"/>
    <w:rsid w:val="433724B6"/>
    <w:rsid w:val="43426CFB"/>
    <w:rsid w:val="43954B35"/>
    <w:rsid w:val="43AC184B"/>
    <w:rsid w:val="43E048FB"/>
    <w:rsid w:val="44134CD1"/>
    <w:rsid w:val="444255B6"/>
    <w:rsid w:val="445B21D4"/>
    <w:rsid w:val="44B841EA"/>
    <w:rsid w:val="44BB7A31"/>
    <w:rsid w:val="44F12743"/>
    <w:rsid w:val="45164FCA"/>
    <w:rsid w:val="45603F46"/>
    <w:rsid w:val="4567704D"/>
    <w:rsid w:val="46436684"/>
    <w:rsid w:val="466E0ECC"/>
    <w:rsid w:val="469E49ED"/>
    <w:rsid w:val="46E142CA"/>
    <w:rsid w:val="47156484"/>
    <w:rsid w:val="47BC567F"/>
    <w:rsid w:val="47ED377D"/>
    <w:rsid w:val="480E2C76"/>
    <w:rsid w:val="48B337CB"/>
    <w:rsid w:val="4902281E"/>
    <w:rsid w:val="492E05EF"/>
    <w:rsid w:val="49430F20"/>
    <w:rsid w:val="49586A94"/>
    <w:rsid w:val="497C60CE"/>
    <w:rsid w:val="49B0500F"/>
    <w:rsid w:val="49CA1C7E"/>
    <w:rsid w:val="49DF0562"/>
    <w:rsid w:val="4A0C3670"/>
    <w:rsid w:val="4A9946C7"/>
    <w:rsid w:val="4AD21688"/>
    <w:rsid w:val="4B5B0B6D"/>
    <w:rsid w:val="4C1A767F"/>
    <w:rsid w:val="4C55645B"/>
    <w:rsid w:val="4C856700"/>
    <w:rsid w:val="4C8C5244"/>
    <w:rsid w:val="4C991D22"/>
    <w:rsid w:val="4CC46827"/>
    <w:rsid w:val="4D3A32CE"/>
    <w:rsid w:val="4DA96EA3"/>
    <w:rsid w:val="4DEF6012"/>
    <w:rsid w:val="4E09564A"/>
    <w:rsid w:val="4E3723CC"/>
    <w:rsid w:val="4E3E6DEE"/>
    <w:rsid w:val="4E816650"/>
    <w:rsid w:val="4EB23B83"/>
    <w:rsid w:val="4EFE0EEE"/>
    <w:rsid w:val="4F2D7EE3"/>
    <w:rsid w:val="4F2E5BE2"/>
    <w:rsid w:val="4F6C1739"/>
    <w:rsid w:val="4FAF04B6"/>
    <w:rsid w:val="4FB15A4C"/>
    <w:rsid w:val="4FBF108D"/>
    <w:rsid w:val="4FCA078B"/>
    <w:rsid w:val="4FCD0813"/>
    <w:rsid w:val="50474970"/>
    <w:rsid w:val="509B4084"/>
    <w:rsid w:val="50B61E4E"/>
    <w:rsid w:val="51223A27"/>
    <w:rsid w:val="513B3F06"/>
    <w:rsid w:val="5156124D"/>
    <w:rsid w:val="518D3802"/>
    <w:rsid w:val="51A451BA"/>
    <w:rsid w:val="51FB5A68"/>
    <w:rsid w:val="522450E7"/>
    <w:rsid w:val="52455466"/>
    <w:rsid w:val="530971A6"/>
    <w:rsid w:val="53497318"/>
    <w:rsid w:val="536943B3"/>
    <w:rsid w:val="539E3AE2"/>
    <w:rsid w:val="53A95FFF"/>
    <w:rsid w:val="53B63336"/>
    <w:rsid w:val="53B65904"/>
    <w:rsid w:val="54094A96"/>
    <w:rsid w:val="547567F3"/>
    <w:rsid w:val="5495453C"/>
    <w:rsid w:val="54CC062A"/>
    <w:rsid w:val="54FC5F6F"/>
    <w:rsid w:val="55093C40"/>
    <w:rsid w:val="553A6954"/>
    <w:rsid w:val="553B4087"/>
    <w:rsid w:val="55487EA5"/>
    <w:rsid w:val="556F6F88"/>
    <w:rsid w:val="558279A5"/>
    <w:rsid w:val="55A301C8"/>
    <w:rsid w:val="55D85C4B"/>
    <w:rsid w:val="55DE4C58"/>
    <w:rsid w:val="564E334A"/>
    <w:rsid w:val="56ED13B1"/>
    <w:rsid w:val="576A01DA"/>
    <w:rsid w:val="57833AC4"/>
    <w:rsid w:val="57B41ECF"/>
    <w:rsid w:val="57DB12B5"/>
    <w:rsid w:val="57E257AD"/>
    <w:rsid w:val="57F57897"/>
    <w:rsid w:val="5814471C"/>
    <w:rsid w:val="582908CD"/>
    <w:rsid w:val="587410AB"/>
    <w:rsid w:val="587E7A88"/>
    <w:rsid w:val="58AA0A84"/>
    <w:rsid w:val="58B46DF3"/>
    <w:rsid w:val="59291274"/>
    <w:rsid w:val="592D2FEC"/>
    <w:rsid w:val="593E4B28"/>
    <w:rsid w:val="596D67DA"/>
    <w:rsid w:val="59A55F73"/>
    <w:rsid w:val="5A1B4488"/>
    <w:rsid w:val="5A492DA3"/>
    <w:rsid w:val="5A4D7B8B"/>
    <w:rsid w:val="5AAF21A2"/>
    <w:rsid w:val="5AC16DDD"/>
    <w:rsid w:val="5AF26FCA"/>
    <w:rsid w:val="5B127359"/>
    <w:rsid w:val="5B4D5D1A"/>
    <w:rsid w:val="5C09599F"/>
    <w:rsid w:val="5C594DF3"/>
    <w:rsid w:val="5CD728E8"/>
    <w:rsid w:val="5D144AF5"/>
    <w:rsid w:val="5D1457C4"/>
    <w:rsid w:val="5D83481E"/>
    <w:rsid w:val="5DD024F5"/>
    <w:rsid w:val="5DF42FEE"/>
    <w:rsid w:val="5DF6726C"/>
    <w:rsid w:val="5DF85AB3"/>
    <w:rsid w:val="5E020D02"/>
    <w:rsid w:val="5E234FB6"/>
    <w:rsid w:val="5EE8370D"/>
    <w:rsid w:val="5EE91693"/>
    <w:rsid w:val="5EEB336C"/>
    <w:rsid w:val="5EFB3610"/>
    <w:rsid w:val="5F2B7046"/>
    <w:rsid w:val="5F3B7EA4"/>
    <w:rsid w:val="5F7C05F3"/>
    <w:rsid w:val="5F984EEC"/>
    <w:rsid w:val="5FAD6ADE"/>
    <w:rsid w:val="5FEF619A"/>
    <w:rsid w:val="5FFA173A"/>
    <w:rsid w:val="60017C7C"/>
    <w:rsid w:val="602B7723"/>
    <w:rsid w:val="6052293E"/>
    <w:rsid w:val="60655DFC"/>
    <w:rsid w:val="60AC23F2"/>
    <w:rsid w:val="60AC6E14"/>
    <w:rsid w:val="60E32133"/>
    <w:rsid w:val="610B4E10"/>
    <w:rsid w:val="614C2731"/>
    <w:rsid w:val="61783847"/>
    <w:rsid w:val="61A129B9"/>
    <w:rsid w:val="61B521A0"/>
    <w:rsid w:val="61FE26C5"/>
    <w:rsid w:val="621E2A60"/>
    <w:rsid w:val="630F21EA"/>
    <w:rsid w:val="63417118"/>
    <w:rsid w:val="634F3D9D"/>
    <w:rsid w:val="63A60280"/>
    <w:rsid w:val="63A7391A"/>
    <w:rsid w:val="63BA753A"/>
    <w:rsid w:val="63F50154"/>
    <w:rsid w:val="63F55001"/>
    <w:rsid w:val="642B7C46"/>
    <w:rsid w:val="646A2293"/>
    <w:rsid w:val="64DE54F7"/>
    <w:rsid w:val="650D2B78"/>
    <w:rsid w:val="654A3BBE"/>
    <w:rsid w:val="65513E5F"/>
    <w:rsid w:val="65BF0EC2"/>
    <w:rsid w:val="65EA4F8C"/>
    <w:rsid w:val="65F20792"/>
    <w:rsid w:val="661C12D6"/>
    <w:rsid w:val="665901D5"/>
    <w:rsid w:val="666A36C3"/>
    <w:rsid w:val="66772996"/>
    <w:rsid w:val="66AB0BA8"/>
    <w:rsid w:val="66AC6B20"/>
    <w:rsid w:val="66C519A2"/>
    <w:rsid w:val="66E002C6"/>
    <w:rsid w:val="66EA4056"/>
    <w:rsid w:val="66F84D59"/>
    <w:rsid w:val="670B2687"/>
    <w:rsid w:val="670E47E2"/>
    <w:rsid w:val="672E2451"/>
    <w:rsid w:val="676E620C"/>
    <w:rsid w:val="67741713"/>
    <w:rsid w:val="67C94393"/>
    <w:rsid w:val="67D07568"/>
    <w:rsid w:val="67D26813"/>
    <w:rsid w:val="68520DFC"/>
    <w:rsid w:val="68C03C49"/>
    <w:rsid w:val="68F5183C"/>
    <w:rsid w:val="68F82AAD"/>
    <w:rsid w:val="693C36F0"/>
    <w:rsid w:val="695A2D65"/>
    <w:rsid w:val="6A062371"/>
    <w:rsid w:val="6A247200"/>
    <w:rsid w:val="6A6E6CFE"/>
    <w:rsid w:val="6A7E2FA4"/>
    <w:rsid w:val="6A967E7F"/>
    <w:rsid w:val="6AB1237D"/>
    <w:rsid w:val="6B060C76"/>
    <w:rsid w:val="6B110F24"/>
    <w:rsid w:val="6BDC6907"/>
    <w:rsid w:val="6BFB1C7D"/>
    <w:rsid w:val="6BFC3CD6"/>
    <w:rsid w:val="6CA22BA4"/>
    <w:rsid w:val="6CA70609"/>
    <w:rsid w:val="6D5F6D17"/>
    <w:rsid w:val="6E250FD9"/>
    <w:rsid w:val="6E8C27AE"/>
    <w:rsid w:val="6EB80153"/>
    <w:rsid w:val="6F241961"/>
    <w:rsid w:val="6F3016EA"/>
    <w:rsid w:val="6F3941F6"/>
    <w:rsid w:val="6F6A1399"/>
    <w:rsid w:val="6F773996"/>
    <w:rsid w:val="6FE55944"/>
    <w:rsid w:val="70222372"/>
    <w:rsid w:val="702F1E8F"/>
    <w:rsid w:val="703C7779"/>
    <w:rsid w:val="707F181E"/>
    <w:rsid w:val="70B637FC"/>
    <w:rsid w:val="70C724D1"/>
    <w:rsid w:val="71710D6C"/>
    <w:rsid w:val="717263F6"/>
    <w:rsid w:val="719673D2"/>
    <w:rsid w:val="71CC6313"/>
    <w:rsid w:val="721F6B81"/>
    <w:rsid w:val="722C34BB"/>
    <w:rsid w:val="724F2AC9"/>
    <w:rsid w:val="728F3D18"/>
    <w:rsid w:val="72CC236B"/>
    <w:rsid w:val="72CE1C3F"/>
    <w:rsid w:val="72F15982"/>
    <w:rsid w:val="73341B94"/>
    <w:rsid w:val="733A4DDF"/>
    <w:rsid w:val="73504D4A"/>
    <w:rsid w:val="735A6C75"/>
    <w:rsid w:val="73B71B10"/>
    <w:rsid w:val="73DA504D"/>
    <w:rsid w:val="74090CED"/>
    <w:rsid w:val="744A0B5E"/>
    <w:rsid w:val="74737889"/>
    <w:rsid w:val="74B7355D"/>
    <w:rsid w:val="74DB492D"/>
    <w:rsid w:val="75052B64"/>
    <w:rsid w:val="757414EC"/>
    <w:rsid w:val="75997CEB"/>
    <w:rsid w:val="75D5151B"/>
    <w:rsid w:val="75F259B2"/>
    <w:rsid w:val="76205DC0"/>
    <w:rsid w:val="76C23869"/>
    <w:rsid w:val="76D80D7D"/>
    <w:rsid w:val="7725287D"/>
    <w:rsid w:val="772748A8"/>
    <w:rsid w:val="775136A6"/>
    <w:rsid w:val="776963DA"/>
    <w:rsid w:val="77DA2E34"/>
    <w:rsid w:val="77F203CA"/>
    <w:rsid w:val="780F73EC"/>
    <w:rsid w:val="78454281"/>
    <w:rsid w:val="7857547F"/>
    <w:rsid w:val="78D1770B"/>
    <w:rsid w:val="790B7EA4"/>
    <w:rsid w:val="791F31F5"/>
    <w:rsid w:val="7929674A"/>
    <w:rsid w:val="795A5FDB"/>
    <w:rsid w:val="79B62960"/>
    <w:rsid w:val="7AFD5C52"/>
    <w:rsid w:val="7B5A08DA"/>
    <w:rsid w:val="7B931C78"/>
    <w:rsid w:val="7BA3585B"/>
    <w:rsid w:val="7C324FED"/>
    <w:rsid w:val="7C885555"/>
    <w:rsid w:val="7CE54755"/>
    <w:rsid w:val="7D0149BD"/>
    <w:rsid w:val="7D3409C5"/>
    <w:rsid w:val="7DA834E4"/>
    <w:rsid w:val="7DD42926"/>
    <w:rsid w:val="7E2968C4"/>
    <w:rsid w:val="7E301A00"/>
    <w:rsid w:val="7E3E7663"/>
    <w:rsid w:val="7E515B14"/>
    <w:rsid w:val="7E792C3D"/>
    <w:rsid w:val="7E97056E"/>
    <w:rsid w:val="7EA54780"/>
    <w:rsid w:val="7F250920"/>
    <w:rsid w:val="7F765B38"/>
    <w:rsid w:val="7F953A52"/>
    <w:rsid w:val="7FD02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9"/>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84"/>
    <w:semiHidden/>
    <w:unhideWhenUsed/>
    <w:qFormat/>
    <w:uiPriority w:val="0"/>
    <w:pPr>
      <w:keepNext/>
      <w:keepLines/>
      <w:spacing w:before="260" w:after="260" w:line="416" w:lineRule="auto"/>
      <w:outlineLvl w:val="2"/>
    </w:pPr>
    <w:rPr>
      <w:b/>
      <w:bCs/>
      <w:sz w:val="32"/>
      <w:szCs w:val="32"/>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81"/>
    <w:qFormat/>
    <w:uiPriority w:val="99"/>
    <w:pPr>
      <w:spacing w:after="120"/>
    </w:pPr>
  </w:style>
  <w:style w:type="paragraph" w:styleId="6">
    <w:name w:val="toc 7"/>
    <w:basedOn w:val="1"/>
    <w:next w:val="1"/>
    <w:qFormat/>
    <w:uiPriority w:val="39"/>
    <w:pPr>
      <w:tabs>
        <w:tab w:val="right" w:leader="dot" w:pos="9241"/>
      </w:tabs>
      <w:ind w:firstLine="500" w:firstLineChars="500"/>
      <w:jc w:val="left"/>
    </w:pPr>
    <w:rPr>
      <w:rFonts w:ascii="宋体"/>
      <w:szCs w:val="21"/>
    </w:rPr>
  </w:style>
  <w:style w:type="paragraph" w:styleId="7">
    <w:name w:val="index 8"/>
    <w:basedOn w:val="1"/>
    <w:next w:val="1"/>
    <w:qFormat/>
    <w:uiPriority w:val="0"/>
    <w:pPr>
      <w:ind w:left="1680" w:hanging="210"/>
      <w:jc w:val="left"/>
    </w:pPr>
    <w:rPr>
      <w:rFonts w:ascii="Calibri" w:hAnsi="Calibri"/>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qFormat/>
    <w:uiPriority w:val="0"/>
    <w:pPr>
      <w:ind w:left="1050" w:hanging="210"/>
      <w:jc w:val="left"/>
    </w:pPr>
    <w:rPr>
      <w:rFonts w:ascii="Calibri" w:hAnsi="Calibri"/>
      <w:sz w:val="20"/>
      <w:szCs w:val="20"/>
    </w:rPr>
  </w:style>
  <w:style w:type="paragraph" w:styleId="10">
    <w:name w:val="Document Map"/>
    <w:basedOn w:val="1"/>
    <w:semiHidden/>
    <w:qFormat/>
    <w:uiPriority w:val="0"/>
    <w:pPr>
      <w:shd w:val="clear" w:color="auto" w:fill="000080"/>
    </w:pPr>
  </w:style>
  <w:style w:type="paragraph" w:styleId="11">
    <w:name w:val="annotation text"/>
    <w:basedOn w:val="1"/>
    <w:link w:val="50"/>
    <w:qFormat/>
    <w:uiPriority w:val="0"/>
    <w:pPr>
      <w:jc w:val="left"/>
    </w:pPr>
  </w:style>
  <w:style w:type="paragraph" w:styleId="12">
    <w:name w:val="index 6"/>
    <w:basedOn w:val="1"/>
    <w:next w:val="1"/>
    <w:qFormat/>
    <w:uiPriority w:val="0"/>
    <w:pPr>
      <w:ind w:left="1260" w:hanging="210"/>
      <w:jc w:val="left"/>
    </w:pPr>
    <w:rPr>
      <w:rFonts w:ascii="Calibri" w:hAnsi="Calibri"/>
      <w:sz w:val="20"/>
      <w:szCs w:val="20"/>
    </w:rPr>
  </w:style>
  <w:style w:type="paragraph" w:styleId="13">
    <w:name w:val="index 4"/>
    <w:basedOn w:val="1"/>
    <w:next w:val="1"/>
    <w:qFormat/>
    <w:uiPriority w:val="0"/>
    <w:pPr>
      <w:ind w:left="840" w:hanging="210"/>
      <w:jc w:val="left"/>
    </w:pPr>
    <w:rPr>
      <w:rFonts w:ascii="Calibri" w:hAnsi="Calibri"/>
      <w:sz w:val="20"/>
      <w:szCs w:val="20"/>
    </w:rPr>
  </w:style>
  <w:style w:type="paragraph" w:styleId="14">
    <w:name w:val="toc 5"/>
    <w:basedOn w:val="1"/>
    <w:next w:val="1"/>
    <w:qFormat/>
    <w:uiPriority w:val="39"/>
    <w:pPr>
      <w:tabs>
        <w:tab w:val="right" w:leader="dot" w:pos="9241"/>
      </w:tabs>
      <w:ind w:firstLine="300" w:firstLineChars="300"/>
      <w:jc w:val="left"/>
    </w:pPr>
    <w:rPr>
      <w:rFonts w:ascii="宋体"/>
      <w:szCs w:val="21"/>
    </w:rPr>
  </w:style>
  <w:style w:type="paragraph" w:styleId="15">
    <w:name w:val="toc 3"/>
    <w:basedOn w:val="1"/>
    <w:next w:val="1"/>
    <w:qFormat/>
    <w:uiPriority w:val="39"/>
    <w:pPr>
      <w:tabs>
        <w:tab w:val="right" w:leader="dot" w:pos="9241"/>
      </w:tabs>
      <w:ind w:firstLine="100" w:firstLineChars="100"/>
      <w:jc w:val="left"/>
    </w:pPr>
    <w:rPr>
      <w:rFonts w:ascii="宋体"/>
      <w:szCs w:val="21"/>
    </w:rPr>
  </w:style>
  <w:style w:type="paragraph" w:styleId="16">
    <w:name w:val="Plain Text"/>
    <w:basedOn w:val="1"/>
    <w:link w:val="51"/>
    <w:qFormat/>
    <w:uiPriority w:val="0"/>
    <w:rPr>
      <w:rFonts w:ascii="宋体" w:hAnsi="Courier New"/>
      <w:szCs w:val="20"/>
    </w:rPr>
  </w:style>
  <w:style w:type="paragraph" w:styleId="17">
    <w:name w:val="toc 8"/>
    <w:basedOn w:val="1"/>
    <w:next w:val="1"/>
    <w:qFormat/>
    <w:uiPriority w:val="39"/>
    <w:pPr>
      <w:tabs>
        <w:tab w:val="right" w:leader="dot" w:pos="9241"/>
      </w:tabs>
      <w:ind w:firstLine="607" w:firstLineChars="600"/>
      <w:jc w:val="left"/>
    </w:pPr>
    <w:rPr>
      <w:rFonts w:ascii="宋体"/>
      <w:szCs w:val="21"/>
    </w:rPr>
  </w:style>
  <w:style w:type="paragraph" w:styleId="18">
    <w:name w:val="index 3"/>
    <w:basedOn w:val="1"/>
    <w:next w:val="1"/>
    <w:qFormat/>
    <w:uiPriority w:val="0"/>
    <w:pPr>
      <w:ind w:left="630" w:hanging="210"/>
      <w:jc w:val="left"/>
    </w:pPr>
    <w:rPr>
      <w:rFonts w:ascii="Calibri" w:hAnsi="Calibri"/>
      <w:sz w:val="20"/>
      <w:szCs w:val="20"/>
    </w:rPr>
  </w:style>
  <w:style w:type="paragraph" w:styleId="19">
    <w:name w:val="Date"/>
    <w:basedOn w:val="1"/>
    <w:next w:val="1"/>
    <w:link w:val="52"/>
    <w:qFormat/>
    <w:uiPriority w:val="0"/>
    <w:pPr>
      <w:ind w:left="100" w:leftChars="2500"/>
    </w:pPr>
  </w:style>
  <w:style w:type="paragraph" w:styleId="20">
    <w:name w:val="endnote text"/>
    <w:basedOn w:val="1"/>
    <w:semiHidden/>
    <w:qFormat/>
    <w:uiPriority w:val="0"/>
    <w:pPr>
      <w:snapToGrid w:val="0"/>
      <w:jc w:val="left"/>
    </w:pPr>
  </w:style>
  <w:style w:type="paragraph" w:styleId="21">
    <w:name w:val="Balloon Text"/>
    <w:basedOn w:val="1"/>
    <w:link w:val="53"/>
    <w:qFormat/>
    <w:uiPriority w:val="0"/>
    <w:rPr>
      <w:sz w:val="18"/>
      <w:szCs w:val="18"/>
    </w:rPr>
  </w:style>
  <w:style w:type="paragraph" w:styleId="22">
    <w:name w:val="footer"/>
    <w:basedOn w:val="1"/>
    <w:qFormat/>
    <w:uiPriority w:val="0"/>
    <w:pPr>
      <w:snapToGrid w:val="0"/>
      <w:ind w:right="210" w:rightChars="100"/>
      <w:jc w:val="right"/>
    </w:pPr>
    <w:rPr>
      <w:sz w:val="18"/>
      <w:szCs w:val="18"/>
    </w:rPr>
  </w:style>
  <w:style w:type="paragraph" w:styleId="23">
    <w:name w:val="header"/>
    <w:basedOn w:val="1"/>
    <w:qFormat/>
    <w:uiPriority w:val="0"/>
    <w:pPr>
      <w:snapToGrid w:val="0"/>
      <w:jc w:val="left"/>
    </w:pPr>
    <w:rPr>
      <w:sz w:val="18"/>
      <w:szCs w:val="18"/>
    </w:rPr>
  </w:style>
  <w:style w:type="paragraph" w:styleId="24">
    <w:name w:val="toc 1"/>
    <w:basedOn w:val="1"/>
    <w:next w:val="1"/>
    <w:qFormat/>
    <w:uiPriority w:val="39"/>
    <w:pPr>
      <w:tabs>
        <w:tab w:val="right" w:leader="dot" w:pos="9242"/>
      </w:tabs>
      <w:spacing w:before="25" w:beforeLines="25" w:after="25" w:afterLines="25"/>
      <w:jc w:val="left"/>
    </w:pPr>
    <w:rPr>
      <w:rFonts w:ascii="宋体"/>
      <w:szCs w:val="21"/>
    </w:rPr>
  </w:style>
  <w:style w:type="paragraph" w:styleId="25">
    <w:name w:val="toc 4"/>
    <w:basedOn w:val="1"/>
    <w:next w:val="1"/>
    <w:qFormat/>
    <w:uiPriority w:val="39"/>
    <w:pPr>
      <w:tabs>
        <w:tab w:val="right" w:leader="dot" w:pos="9241"/>
      </w:tabs>
      <w:ind w:firstLine="200" w:firstLineChars="200"/>
      <w:jc w:val="left"/>
    </w:pPr>
    <w:rPr>
      <w:rFonts w:ascii="宋体"/>
      <w:szCs w:val="21"/>
    </w:rPr>
  </w:style>
  <w:style w:type="paragraph" w:styleId="26">
    <w:name w:val="index heading"/>
    <w:basedOn w:val="1"/>
    <w:next w:val="27"/>
    <w:qFormat/>
    <w:uiPriority w:val="0"/>
    <w:pPr>
      <w:spacing w:before="120" w:after="120"/>
      <w:jc w:val="center"/>
    </w:pPr>
    <w:rPr>
      <w:rFonts w:ascii="Calibri" w:hAnsi="Calibri"/>
      <w:b/>
      <w:bCs/>
      <w:iCs/>
      <w:szCs w:val="20"/>
    </w:rPr>
  </w:style>
  <w:style w:type="paragraph" w:styleId="27">
    <w:name w:val="index 1"/>
    <w:basedOn w:val="1"/>
    <w:next w:val="28"/>
    <w:qFormat/>
    <w:uiPriority w:val="0"/>
    <w:pPr>
      <w:tabs>
        <w:tab w:val="right" w:leader="dot" w:pos="9299"/>
      </w:tabs>
      <w:jc w:val="left"/>
    </w:pPr>
    <w:rPr>
      <w:rFonts w:ascii="宋体"/>
      <w:szCs w:val="21"/>
    </w:rPr>
  </w:style>
  <w:style w:type="paragraph" w:customStyle="1" w:styleId="28">
    <w:name w:val="段"/>
    <w:link w:val="5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9">
    <w:name w:val="footnote text"/>
    <w:basedOn w:val="1"/>
    <w:qFormat/>
    <w:uiPriority w:val="0"/>
    <w:pPr>
      <w:numPr>
        <w:ilvl w:val="0"/>
        <w:numId w:val="1"/>
      </w:numPr>
      <w:snapToGrid w:val="0"/>
      <w:jc w:val="left"/>
    </w:pPr>
    <w:rPr>
      <w:rFonts w:ascii="宋体"/>
      <w:sz w:val="18"/>
      <w:szCs w:val="18"/>
    </w:rPr>
  </w:style>
  <w:style w:type="paragraph" w:styleId="30">
    <w:name w:val="toc 6"/>
    <w:basedOn w:val="1"/>
    <w:next w:val="1"/>
    <w:qFormat/>
    <w:uiPriority w:val="39"/>
    <w:pPr>
      <w:tabs>
        <w:tab w:val="right" w:leader="dot" w:pos="9241"/>
      </w:tabs>
      <w:ind w:firstLine="400" w:firstLineChars="400"/>
      <w:jc w:val="left"/>
    </w:pPr>
    <w:rPr>
      <w:rFonts w:ascii="宋体"/>
      <w:szCs w:val="21"/>
    </w:rPr>
  </w:style>
  <w:style w:type="paragraph" w:styleId="31">
    <w:name w:val="index 7"/>
    <w:basedOn w:val="1"/>
    <w:next w:val="1"/>
    <w:qFormat/>
    <w:uiPriority w:val="0"/>
    <w:pPr>
      <w:ind w:left="1470" w:hanging="210"/>
      <w:jc w:val="left"/>
    </w:pPr>
    <w:rPr>
      <w:rFonts w:ascii="Calibri" w:hAnsi="Calibri"/>
      <w:sz w:val="20"/>
      <w:szCs w:val="20"/>
    </w:rPr>
  </w:style>
  <w:style w:type="paragraph" w:styleId="32">
    <w:name w:val="index 9"/>
    <w:basedOn w:val="1"/>
    <w:next w:val="1"/>
    <w:qFormat/>
    <w:uiPriority w:val="0"/>
    <w:pPr>
      <w:ind w:left="1890" w:hanging="210"/>
      <w:jc w:val="left"/>
    </w:pPr>
    <w:rPr>
      <w:rFonts w:ascii="Calibri" w:hAnsi="Calibri"/>
      <w:sz w:val="20"/>
      <w:szCs w:val="20"/>
    </w:rPr>
  </w:style>
  <w:style w:type="paragraph" w:styleId="33">
    <w:name w:val="table of figures"/>
    <w:basedOn w:val="1"/>
    <w:next w:val="1"/>
    <w:qFormat/>
    <w:uiPriority w:val="99"/>
    <w:pPr>
      <w:ind w:left="200" w:leftChars="200" w:hanging="200" w:hangingChars="200"/>
    </w:pPr>
  </w:style>
  <w:style w:type="paragraph" w:styleId="34">
    <w:name w:val="toc 2"/>
    <w:basedOn w:val="1"/>
    <w:next w:val="1"/>
    <w:qFormat/>
    <w:uiPriority w:val="39"/>
    <w:pPr>
      <w:tabs>
        <w:tab w:val="right" w:leader="dot" w:pos="9242"/>
      </w:tabs>
    </w:pPr>
    <w:rPr>
      <w:rFonts w:ascii="宋体"/>
      <w:szCs w:val="21"/>
    </w:rPr>
  </w:style>
  <w:style w:type="paragraph" w:styleId="35">
    <w:name w:val="toc 9"/>
    <w:basedOn w:val="1"/>
    <w:next w:val="1"/>
    <w:qFormat/>
    <w:uiPriority w:val="39"/>
    <w:pPr>
      <w:ind w:left="1470"/>
      <w:jc w:val="left"/>
    </w:pPr>
    <w:rPr>
      <w:sz w:val="20"/>
      <w:szCs w:val="20"/>
    </w:rPr>
  </w:style>
  <w:style w:type="paragraph" w:styleId="36">
    <w:name w:val="Normal (Web)"/>
    <w:basedOn w:val="1"/>
    <w:qFormat/>
    <w:uiPriority w:val="0"/>
    <w:rPr>
      <w:sz w:val="24"/>
    </w:rPr>
  </w:style>
  <w:style w:type="paragraph" w:styleId="37">
    <w:name w:val="index 2"/>
    <w:basedOn w:val="1"/>
    <w:next w:val="1"/>
    <w:qFormat/>
    <w:uiPriority w:val="0"/>
    <w:pPr>
      <w:ind w:left="420" w:hanging="210"/>
      <w:jc w:val="left"/>
    </w:pPr>
    <w:rPr>
      <w:rFonts w:ascii="Calibri" w:hAnsi="Calibri"/>
      <w:sz w:val="20"/>
      <w:szCs w:val="20"/>
    </w:rPr>
  </w:style>
  <w:style w:type="paragraph" w:styleId="38">
    <w:name w:val="annotation subject"/>
    <w:basedOn w:val="11"/>
    <w:next w:val="11"/>
    <w:link w:val="55"/>
    <w:qFormat/>
    <w:uiPriority w:val="0"/>
    <w:rPr>
      <w:b/>
      <w:bCs/>
    </w:rPr>
  </w:style>
  <w:style w:type="table" w:styleId="40">
    <w:name w:val="Table Grid"/>
    <w:basedOn w:val="39"/>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2">
    <w:name w:val="Strong"/>
    <w:basedOn w:val="41"/>
    <w:qFormat/>
    <w:uiPriority w:val="22"/>
    <w:rPr>
      <w:b/>
      <w:bCs/>
    </w:rPr>
  </w:style>
  <w:style w:type="character" w:styleId="43">
    <w:name w:val="endnote reference"/>
    <w:semiHidden/>
    <w:qFormat/>
    <w:uiPriority w:val="0"/>
    <w:rPr>
      <w:vertAlign w:val="superscript"/>
    </w:rPr>
  </w:style>
  <w:style w:type="character" w:styleId="44">
    <w:name w:val="page number"/>
    <w:qFormat/>
    <w:uiPriority w:val="0"/>
    <w:rPr>
      <w:rFonts w:ascii="Times New Roman" w:hAnsi="Times New Roman" w:eastAsia="宋体"/>
      <w:sz w:val="18"/>
    </w:rPr>
  </w:style>
  <w:style w:type="character" w:styleId="45">
    <w:name w:val="FollowedHyperlink"/>
    <w:qFormat/>
    <w:uiPriority w:val="0"/>
    <w:rPr>
      <w:color w:val="800080"/>
      <w:u w:val="single"/>
    </w:rPr>
  </w:style>
  <w:style w:type="character" w:styleId="46">
    <w:name w:val="Hyperlink"/>
    <w:qFormat/>
    <w:uiPriority w:val="99"/>
    <w:rPr>
      <w:color w:val="0000FF"/>
      <w:spacing w:val="0"/>
      <w:w w:val="100"/>
      <w:szCs w:val="21"/>
      <w:u w:val="single"/>
    </w:rPr>
  </w:style>
  <w:style w:type="character" w:styleId="47">
    <w:name w:val="annotation reference"/>
    <w:qFormat/>
    <w:uiPriority w:val="0"/>
    <w:rPr>
      <w:sz w:val="21"/>
      <w:szCs w:val="21"/>
    </w:rPr>
  </w:style>
  <w:style w:type="character" w:styleId="48">
    <w:name w:val="footnote reference"/>
    <w:semiHidden/>
    <w:qFormat/>
    <w:uiPriority w:val="0"/>
    <w:rPr>
      <w:vertAlign w:val="superscript"/>
    </w:rPr>
  </w:style>
  <w:style w:type="character" w:customStyle="1" w:styleId="49">
    <w:name w:val="标题 2 字符"/>
    <w:link w:val="4"/>
    <w:qFormat/>
    <w:uiPriority w:val="0"/>
    <w:rPr>
      <w:rFonts w:ascii="Arial" w:hAnsi="Arial" w:eastAsia="黑体"/>
      <w:b/>
      <w:bCs/>
      <w:kern w:val="2"/>
      <w:sz w:val="32"/>
      <w:szCs w:val="32"/>
    </w:rPr>
  </w:style>
  <w:style w:type="character" w:customStyle="1" w:styleId="50">
    <w:name w:val="批注文字 字符"/>
    <w:link w:val="11"/>
    <w:qFormat/>
    <w:uiPriority w:val="0"/>
    <w:rPr>
      <w:kern w:val="2"/>
      <w:sz w:val="21"/>
      <w:szCs w:val="24"/>
    </w:rPr>
  </w:style>
  <w:style w:type="character" w:customStyle="1" w:styleId="51">
    <w:name w:val="纯文本 字符"/>
    <w:link w:val="16"/>
    <w:qFormat/>
    <w:uiPriority w:val="0"/>
    <w:rPr>
      <w:rFonts w:ascii="宋体" w:hAnsi="Courier New"/>
      <w:kern w:val="2"/>
      <w:sz w:val="21"/>
    </w:rPr>
  </w:style>
  <w:style w:type="character" w:customStyle="1" w:styleId="52">
    <w:name w:val="日期 字符"/>
    <w:link w:val="19"/>
    <w:qFormat/>
    <w:uiPriority w:val="0"/>
    <w:rPr>
      <w:kern w:val="2"/>
      <w:sz w:val="21"/>
      <w:szCs w:val="24"/>
    </w:rPr>
  </w:style>
  <w:style w:type="character" w:customStyle="1" w:styleId="53">
    <w:name w:val="批注框文本 字符"/>
    <w:link w:val="21"/>
    <w:qFormat/>
    <w:uiPriority w:val="0"/>
    <w:rPr>
      <w:kern w:val="2"/>
      <w:sz w:val="18"/>
      <w:szCs w:val="18"/>
    </w:rPr>
  </w:style>
  <w:style w:type="character" w:customStyle="1" w:styleId="54">
    <w:name w:val="段 Char"/>
    <w:link w:val="28"/>
    <w:qFormat/>
    <w:uiPriority w:val="0"/>
    <w:rPr>
      <w:rFonts w:ascii="宋体"/>
      <w:sz w:val="21"/>
      <w:lang w:val="en-US" w:eastAsia="zh-CN" w:bidi="ar-SA"/>
    </w:rPr>
  </w:style>
  <w:style w:type="character" w:customStyle="1" w:styleId="55">
    <w:name w:val="批注主题 字符"/>
    <w:link w:val="38"/>
    <w:qFormat/>
    <w:uiPriority w:val="0"/>
    <w:rPr>
      <w:b/>
      <w:bCs/>
      <w:kern w:val="2"/>
      <w:sz w:val="21"/>
      <w:szCs w:val="24"/>
    </w:rPr>
  </w:style>
  <w:style w:type="character" w:customStyle="1" w:styleId="56">
    <w:name w:val="发布"/>
    <w:qFormat/>
    <w:uiPriority w:val="0"/>
    <w:rPr>
      <w:rFonts w:ascii="黑体" w:eastAsia="黑体"/>
      <w:spacing w:val="85"/>
      <w:w w:val="100"/>
      <w:position w:val="3"/>
      <w:sz w:val="28"/>
      <w:szCs w:val="28"/>
    </w:rPr>
  </w:style>
  <w:style w:type="character" w:customStyle="1" w:styleId="57">
    <w:name w:val="附录公式 Char"/>
    <w:link w:val="58"/>
    <w:qFormat/>
    <w:uiPriority w:val="0"/>
    <w:rPr>
      <w:lang w:val="en-US" w:eastAsia="zh-CN" w:bidi="ar-SA"/>
    </w:rPr>
  </w:style>
  <w:style w:type="paragraph" w:customStyle="1" w:styleId="58">
    <w:name w:val="附录公式"/>
    <w:basedOn w:val="28"/>
    <w:next w:val="28"/>
    <w:link w:val="57"/>
    <w:qFormat/>
    <w:uiPriority w:val="0"/>
  </w:style>
  <w:style w:type="character" w:customStyle="1" w:styleId="59">
    <w:name w:val="首示例 Char"/>
    <w:link w:val="60"/>
    <w:qFormat/>
    <w:uiPriority w:val="0"/>
    <w:rPr>
      <w:rFonts w:ascii="宋体" w:hAnsi="宋体"/>
      <w:kern w:val="2"/>
      <w:sz w:val="18"/>
      <w:szCs w:val="18"/>
      <w:lang w:val="en-US" w:eastAsia="zh-CN" w:bidi="ar-SA"/>
    </w:rPr>
  </w:style>
  <w:style w:type="paragraph" w:customStyle="1" w:styleId="60">
    <w:name w:val="首示例"/>
    <w:next w:val="28"/>
    <w:link w:val="59"/>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paragraph" w:customStyle="1" w:styleId="61">
    <w:name w:val="二级无"/>
    <w:basedOn w:val="62"/>
    <w:qFormat/>
    <w:uiPriority w:val="0"/>
    <w:pPr>
      <w:spacing w:before="0" w:beforeLines="0" w:after="0" w:afterLines="0"/>
    </w:pPr>
    <w:rPr>
      <w:rFonts w:ascii="宋体" w:eastAsia="宋体"/>
    </w:rPr>
  </w:style>
  <w:style w:type="paragraph" w:customStyle="1" w:styleId="62">
    <w:name w:val="二级条标题"/>
    <w:basedOn w:val="63"/>
    <w:next w:val="28"/>
    <w:link w:val="65"/>
    <w:qFormat/>
    <w:uiPriority w:val="0"/>
    <w:pPr>
      <w:spacing w:before="50" w:after="50"/>
      <w:outlineLvl w:val="3"/>
    </w:pPr>
  </w:style>
  <w:style w:type="paragraph" w:customStyle="1" w:styleId="63">
    <w:name w:val="一级条标题"/>
    <w:next w:val="28"/>
    <w:link w:val="64"/>
    <w:qFormat/>
    <w:uiPriority w:val="0"/>
    <w:p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64">
    <w:name w:val="一级条标题 Char"/>
    <w:link w:val="63"/>
    <w:qFormat/>
    <w:uiPriority w:val="0"/>
    <w:rPr>
      <w:rFonts w:ascii="黑体" w:eastAsia="黑体"/>
      <w:sz w:val="21"/>
      <w:szCs w:val="21"/>
    </w:rPr>
  </w:style>
  <w:style w:type="character" w:customStyle="1" w:styleId="65">
    <w:name w:val="二级条标题 Char"/>
    <w:link w:val="62"/>
    <w:qFormat/>
    <w:uiPriority w:val="0"/>
    <w:rPr>
      <w:rFonts w:ascii="黑体" w:eastAsia="黑体"/>
      <w:sz w:val="21"/>
      <w:szCs w:val="21"/>
    </w:rPr>
  </w:style>
  <w:style w:type="paragraph" w:customStyle="1" w:styleId="66">
    <w:name w:val="附录图标题"/>
    <w:basedOn w:val="1"/>
    <w:next w:val="28"/>
    <w:qFormat/>
    <w:uiPriority w:val="0"/>
    <w:pPr>
      <w:numPr>
        <w:ilvl w:val="1"/>
        <w:numId w:val="3"/>
      </w:numPr>
      <w:tabs>
        <w:tab w:val="left" w:pos="363"/>
      </w:tabs>
      <w:spacing w:before="50" w:beforeLines="50" w:after="50" w:afterLines="50"/>
      <w:ind w:left="0" w:firstLine="0"/>
      <w:jc w:val="center"/>
    </w:pPr>
    <w:rPr>
      <w:rFonts w:ascii="黑体" w:eastAsia="黑体"/>
      <w:szCs w:val="21"/>
    </w:rPr>
  </w:style>
  <w:style w:type="paragraph" w:customStyle="1" w:styleId="67">
    <w:name w:val="其他发布日期"/>
    <w:basedOn w:val="68"/>
    <w:qFormat/>
    <w:uiPriority w:val="0"/>
    <w:pPr>
      <w:framePr w:wrap="around" w:vAnchor="page" w:hAnchor="text" w:x="1419"/>
    </w:pPr>
  </w:style>
  <w:style w:type="paragraph" w:customStyle="1" w:styleId="68">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6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70">
    <w:name w:val="封面正文"/>
    <w:qFormat/>
    <w:uiPriority w:val="0"/>
    <w:pPr>
      <w:jc w:val="both"/>
    </w:pPr>
    <w:rPr>
      <w:rFonts w:ascii="Times New Roman" w:hAnsi="Times New Roman" w:eastAsia="宋体" w:cs="Times New Roman"/>
      <w:lang w:val="en-US" w:eastAsia="zh-CN" w:bidi="ar-SA"/>
    </w:rPr>
  </w:style>
  <w:style w:type="paragraph" w:customStyle="1" w:styleId="71">
    <w:name w:val="附录字母编号列项（一级）"/>
    <w:qFormat/>
    <w:uiPriority w:val="0"/>
    <w:pPr>
      <w:numPr>
        <w:ilvl w:val="0"/>
        <w:numId w:val="4"/>
      </w:numPr>
    </w:pPr>
    <w:rPr>
      <w:rFonts w:ascii="宋体" w:hAnsi="Times New Roman" w:eastAsia="宋体" w:cs="Times New Roman"/>
      <w:sz w:val="21"/>
      <w:lang w:val="en-US" w:eastAsia="zh-CN" w:bidi="ar-SA"/>
    </w:rPr>
  </w:style>
  <w:style w:type="paragraph" w:customStyle="1" w:styleId="72">
    <w:name w:val="附录五级无"/>
    <w:basedOn w:val="73"/>
    <w:qFormat/>
    <w:uiPriority w:val="0"/>
    <w:pPr>
      <w:tabs>
        <w:tab w:val="left" w:pos="360"/>
      </w:tabs>
      <w:spacing w:before="0" w:beforeLines="0" w:after="0" w:afterLines="0"/>
    </w:pPr>
    <w:rPr>
      <w:rFonts w:ascii="宋体" w:eastAsia="宋体"/>
      <w:szCs w:val="21"/>
    </w:rPr>
  </w:style>
  <w:style w:type="paragraph" w:customStyle="1" w:styleId="73">
    <w:name w:val="附录五级条标题"/>
    <w:basedOn w:val="74"/>
    <w:next w:val="28"/>
    <w:qFormat/>
    <w:uiPriority w:val="0"/>
    <w:pPr>
      <w:numPr>
        <w:ilvl w:val="6"/>
      </w:numPr>
      <w:tabs>
        <w:tab w:val="left" w:pos="360"/>
      </w:tabs>
      <w:outlineLvl w:val="6"/>
    </w:pPr>
  </w:style>
  <w:style w:type="paragraph" w:customStyle="1" w:styleId="74">
    <w:name w:val="附录四级条标题"/>
    <w:basedOn w:val="75"/>
    <w:next w:val="28"/>
    <w:qFormat/>
    <w:uiPriority w:val="0"/>
    <w:pPr>
      <w:numPr>
        <w:ilvl w:val="5"/>
      </w:numPr>
      <w:tabs>
        <w:tab w:val="left" w:pos="360"/>
      </w:tabs>
      <w:outlineLvl w:val="5"/>
    </w:pPr>
  </w:style>
  <w:style w:type="paragraph" w:customStyle="1" w:styleId="75">
    <w:name w:val="附录三级条标题"/>
    <w:basedOn w:val="76"/>
    <w:next w:val="28"/>
    <w:qFormat/>
    <w:uiPriority w:val="0"/>
    <w:pPr>
      <w:numPr>
        <w:ilvl w:val="4"/>
      </w:numPr>
      <w:tabs>
        <w:tab w:val="left" w:pos="360"/>
      </w:tabs>
      <w:outlineLvl w:val="4"/>
    </w:pPr>
  </w:style>
  <w:style w:type="paragraph" w:customStyle="1" w:styleId="76">
    <w:name w:val="附录二级条标题"/>
    <w:basedOn w:val="1"/>
    <w:next w:val="28"/>
    <w:qFormat/>
    <w:uiPriority w:val="0"/>
    <w:pPr>
      <w:widowControl/>
      <w:numPr>
        <w:ilvl w:val="3"/>
        <w:numId w:val="5"/>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77">
    <w:name w:val="目次、标准名称标题"/>
    <w:basedOn w:val="1"/>
    <w:next w:val="28"/>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78">
    <w:name w:val="封面一致性程度标识"/>
    <w:basedOn w:val="79"/>
    <w:qFormat/>
    <w:uiPriority w:val="0"/>
    <w:pPr>
      <w:framePr w:wrap="around"/>
      <w:spacing w:before="440"/>
    </w:pPr>
    <w:rPr>
      <w:rFonts w:ascii="宋体" w:eastAsia="宋体"/>
    </w:rPr>
  </w:style>
  <w:style w:type="paragraph" w:customStyle="1" w:styleId="79">
    <w:name w:val="封面标准英文名称"/>
    <w:basedOn w:val="80"/>
    <w:qFormat/>
    <w:uiPriority w:val="0"/>
    <w:pPr>
      <w:framePr w:wrap="around"/>
      <w:spacing w:before="370" w:line="400" w:lineRule="exact"/>
    </w:pPr>
    <w:rPr>
      <w:rFonts w:ascii="Times New Roman"/>
      <w:sz w:val="28"/>
      <w:szCs w:val="28"/>
    </w:rPr>
  </w:style>
  <w:style w:type="paragraph" w:customStyle="1" w:styleId="8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82">
    <w:name w:val="封面一致性程度标识2"/>
    <w:basedOn w:val="78"/>
    <w:qFormat/>
    <w:uiPriority w:val="0"/>
    <w:pPr>
      <w:framePr w:wrap="around" w:y="4469"/>
    </w:pPr>
  </w:style>
  <w:style w:type="paragraph" w:customStyle="1" w:styleId="83">
    <w:name w:val="其他发布部门"/>
    <w:basedOn w:val="84"/>
    <w:qFormat/>
    <w:uiPriority w:val="0"/>
    <w:pPr>
      <w:framePr w:wrap="around" w:y="15310"/>
      <w:spacing w:line="0" w:lineRule="atLeast"/>
    </w:pPr>
    <w:rPr>
      <w:rFonts w:ascii="黑体" w:eastAsia="黑体"/>
      <w:b w:val="0"/>
    </w:rPr>
  </w:style>
  <w:style w:type="paragraph" w:customStyle="1" w:styleId="84">
    <w:name w:val="发布部门"/>
    <w:next w:val="28"/>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5">
    <w:name w:val="其他实施日期"/>
    <w:basedOn w:val="86"/>
    <w:qFormat/>
    <w:uiPriority w:val="0"/>
    <w:pPr>
      <w:framePr w:wrap="around"/>
    </w:pPr>
  </w:style>
  <w:style w:type="paragraph" w:customStyle="1" w:styleId="86">
    <w:name w:val="实施日期"/>
    <w:basedOn w:val="68"/>
    <w:qFormat/>
    <w:uiPriority w:val="0"/>
    <w:pPr>
      <w:framePr w:wrap="around" w:vAnchor="page" w:hAnchor="text"/>
      <w:jc w:val="right"/>
    </w:pPr>
  </w:style>
  <w:style w:type="paragraph" w:customStyle="1" w:styleId="87">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88">
    <w:name w:val="五级条标题"/>
    <w:basedOn w:val="89"/>
    <w:next w:val="28"/>
    <w:qFormat/>
    <w:uiPriority w:val="0"/>
    <w:pPr>
      <w:numPr>
        <w:ilvl w:val="5"/>
      </w:numPr>
      <w:outlineLvl w:val="6"/>
    </w:pPr>
  </w:style>
  <w:style w:type="paragraph" w:customStyle="1" w:styleId="89">
    <w:name w:val="四级条标题"/>
    <w:basedOn w:val="90"/>
    <w:next w:val="28"/>
    <w:qFormat/>
    <w:uiPriority w:val="0"/>
    <w:pPr>
      <w:numPr>
        <w:ilvl w:val="4"/>
      </w:numPr>
      <w:outlineLvl w:val="5"/>
    </w:pPr>
  </w:style>
  <w:style w:type="paragraph" w:customStyle="1" w:styleId="90">
    <w:name w:val="三级条标题"/>
    <w:basedOn w:val="62"/>
    <w:next w:val="28"/>
    <w:qFormat/>
    <w:uiPriority w:val="0"/>
    <w:pPr>
      <w:numPr>
        <w:ilvl w:val="3"/>
        <w:numId w:val="6"/>
      </w:numPr>
      <w:outlineLvl w:val="4"/>
    </w:pPr>
  </w:style>
  <w:style w:type="paragraph" w:customStyle="1" w:styleId="91">
    <w:name w:val="图的脚注"/>
    <w:next w:val="28"/>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92">
    <w:name w:val="附录章标题"/>
    <w:next w:val="28"/>
    <w:qFormat/>
    <w:uiPriority w:val="0"/>
    <w:pPr>
      <w:numPr>
        <w:ilvl w:val="1"/>
        <w:numId w:val="5"/>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列项●（二级）"/>
    <w:qFormat/>
    <w:uiPriority w:val="0"/>
    <w:pPr>
      <w:numPr>
        <w:ilvl w:val="1"/>
        <w:numId w:val="7"/>
      </w:numPr>
      <w:tabs>
        <w:tab w:val="left" w:pos="840"/>
      </w:tabs>
      <w:jc w:val="both"/>
    </w:pPr>
    <w:rPr>
      <w:rFonts w:ascii="宋体" w:hAnsi="Times New Roman" w:eastAsia="宋体" w:cs="Times New Roman"/>
      <w:sz w:val="21"/>
      <w:lang w:val="en-US" w:eastAsia="zh-CN" w:bidi="ar-SA"/>
    </w:rPr>
  </w:style>
  <w:style w:type="paragraph" w:customStyle="1" w:styleId="94">
    <w:name w:val="附录三级无"/>
    <w:basedOn w:val="75"/>
    <w:qFormat/>
    <w:uiPriority w:val="0"/>
    <w:pPr>
      <w:tabs>
        <w:tab w:val="clear" w:pos="360"/>
      </w:tabs>
      <w:spacing w:before="0" w:beforeLines="0" w:after="0" w:afterLines="0"/>
    </w:pPr>
    <w:rPr>
      <w:rFonts w:ascii="宋体" w:eastAsia="宋体"/>
      <w:szCs w:val="21"/>
    </w:rPr>
  </w:style>
  <w:style w:type="paragraph" w:customStyle="1" w:styleId="95">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96">
    <w:name w:val="正文表标题"/>
    <w:next w:val="28"/>
    <w:qFormat/>
    <w:uiPriority w:val="0"/>
    <w:pPr>
      <w:numPr>
        <w:ilvl w:val="0"/>
        <w:numId w:val="8"/>
      </w:numPr>
      <w:tabs>
        <w:tab w:val="left" w:pos="360"/>
      </w:tabs>
      <w:spacing w:before="156" w:beforeLines="50" w:after="156" w:afterLines="50"/>
      <w:ind w:left="0"/>
      <w:jc w:val="center"/>
    </w:pPr>
    <w:rPr>
      <w:rFonts w:ascii="黑体" w:hAnsi="Times New Roman" w:eastAsia="黑体" w:cs="Times New Roman"/>
      <w:sz w:val="21"/>
      <w:lang w:val="en-US" w:eastAsia="zh-CN" w:bidi="ar-SA"/>
    </w:rPr>
  </w:style>
  <w:style w:type="paragraph" w:customStyle="1" w:styleId="97">
    <w:name w:val="封面标准名称2"/>
    <w:basedOn w:val="80"/>
    <w:qFormat/>
    <w:uiPriority w:val="0"/>
    <w:pPr>
      <w:framePr w:wrap="around" w:y="4469"/>
      <w:spacing w:before="630" w:beforeLines="630"/>
    </w:pPr>
  </w:style>
  <w:style w:type="paragraph" w:customStyle="1" w:styleId="98">
    <w:name w:val="注×："/>
    <w:qFormat/>
    <w:uiPriority w:val="0"/>
    <w:pPr>
      <w:widowControl w:val="0"/>
      <w:numPr>
        <w:ilvl w:val="0"/>
        <w:numId w:val="9"/>
      </w:numPr>
      <w:autoSpaceDE w:val="0"/>
      <w:autoSpaceDN w:val="0"/>
      <w:jc w:val="both"/>
    </w:pPr>
    <w:rPr>
      <w:rFonts w:ascii="宋体" w:hAnsi="Times New Roman" w:eastAsia="宋体" w:cs="Times New Roman"/>
      <w:sz w:val="18"/>
      <w:szCs w:val="18"/>
      <w:lang w:val="en-US" w:eastAsia="zh-CN" w:bidi="ar-SA"/>
    </w:rPr>
  </w:style>
  <w:style w:type="paragraph" w:customStyle="1" w:styleId="99">
    <w:name w:val="前言、引言标题"/>
    <w:next w:val="28"/>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0">
    <w:name w:val="编号列项（三级）"/>
    <w:qFormat/>
    <w:uiPriority w:val="0"/>
    <w:pPr>
      <w:numPr>
        <w:ilvl w:val="2"/>
        <w:numId w:val="10"/>
      </w:numPr>
    </w:pPr>
    <w:rPr>
      <w:rFonts w:ascii="宋体" w:hAnsi="Times New Roman" w:eastAsia="宋体" w:cs="Times New Roman"/>
      <w:sz w:val="21"/>
      <w:lang w:val="en-US" w:eastAsia="zh-CN" w:bidi="ar-SA"/>
    </w:rPr>
  </w:style>
  <w:style w:type="paragraph" w:customStyle="1" w:styleId="101">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2">
    <w:name w:val="参考文献"/>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03">
    <w:name w:val="附录二级无"/>
    <w:basedOn w:val="76"/>
    <w:qFormat/>
    <w:uiPriority w:val="0"/>
    <w:pPr>
      <w:tabs>
        <w:tab w:val="clear" w:pos="360"/>
      </w:tabs>
      <w:spacing w:before="0" w:beforeLines="0" w:after="0" w:afterLines="0"/>
    </w:pPr>
    <w:rPr>
      <w:rFonts w:ascii="宋体" w:eastAsia="宋体"/>
      <w:szCs w:val="21"/>
    </w:rPr>
  </w:style>
  <w:style w:type="paragraph" w:customStyle="1" w:styleId="104">
    <w:name w:val="正文公式编号制表符"/>
    <w:basedOn w:val="28"/>
    <w:next w:val="28"/>
    <w:qFormat/>
    <w:uiPriority w:val="0"/>
    <w:pPr>
      <w:ind w:firstLine="0" w:firstLineChars="0"/>
    </w:pPr>
  </w:style>
  <w:style w:type="paragraph" w:customStyle="1" w:styleId="105">
    <w:name w:val="字母编号列项（一级）"/>
    <w:qFormat/>
    <w:uiPriority w:val="0"/>
    <w:pPr>
      <w:numPr>
        <w:ilvl w:val="0"/>
        <w:numId w:val="10"/>
      </w:numPr>
      <w:jc w:val="both"/>
    </w:pPr>
    <w:rPr>
      <w:rFonts w:ascii="宋体" w:hAnsi="Times New Roman" w:eastAsia="宋体" w:cs="Times New Roman"/>
      <w:sz w:val="21"/>
      <w:lang w:val="en-US" w:eastAsia="zh-CN" w:bidi="ar-SA"/>
    </w:rPr>
  </w:style>
  <w:style w:type="paragraph" w:customStyle="1" w:styleId="106">
    <w:name w:val="封面标准文稿类别"/>
    <w:basedOn w:val="78"/>
    <w:qFormat/>
    <w:uiPriority w:val="0"/>
    <w:pPr>
      <w:framePr w:wrap="around"/>
      <w:spacing w:after="160" w:line="240" w:lineRule="auto"/>
    </w:pPr>
    <w:rPr>
      <w:sz w:val="24"/>
    </w:rPr>
  </w:style>
  <w:style w:type="paragraph" w:customStyle="1" w:styleId="107">
    <w:name w:val="附录数字编号列项（二级）"/>
    <w:qFormat/>
    <w:uiPriority w:val="0"/>
    <w:pPr>
      <w:numPr>
        <w:ilvl w:val="1"/>
        <w:numId w:val="4"/>
      </w:numPr>
    </w:pPr>
    <w:rPr>
      <w:rFonts w:ascii="宋体" w:hAnsi="Times New Roman" w:eastAsia="宋体" w:cs="Times New Roman"/>
      <w:sz w:val="21"/>
      <w:lang w:val="en-US" w:eastAsia="zh-CN" w:bidi="ar-SA"/>
    </w:rPr>
  </w:style>
  <w:style w:type="paragraph" w:customStyle="1" w:styleId="108">
    <w:name w:val="附录表标题"/>
    <w:basedOn w:val="1"/>
    <w:next w:val="28"/>
    <w:qFormat/>
    <w:uiPriority w:val="0"/>
    <w:pPr>
      <w:numPr>
        <w:ilvl w:val="1"/>
        <w:numId w:val="11"/>
      </w:numPr>
      <w:tabs>
        <w:tab w:val="left" w:pos="180"/>
      </w:tabs>
      <w:spacing w:before="50" w:beforeLines="50" w:after="50" w:afterLines="50"/>
      <w:ind w:left="0" w:firstLine="0"/>
      <w:jc w:val="center"/>
    </w:pPr>
    <w:rPr>
      <w:rFonts w:ascii="黑体" w:eastAsia="黑体"/>
      <w:szCs w:val="21"/>
    </w:rPr>
  </w:style>
  <w:style w:type="paragraph" w:customStyle="1" w:styleId="109">
    <w:name w:val="列项——（一级）"/>
    <w:qFormat/>
    <w:uiPriority w:val="0"/>
    <w:pPr>
      <w:widowControl w:val="0"/>
      <w:numPr>
        <w:ilvl w:val="0"/>
        <w:numId w:val="7"/>
      </w:numPr>
      <w:jc w:val="both"/>
    </w:pPr>
    <w:rPr>
      <w:rFonts w:ascii="宋体" w:hAnsi="Times New Roman" w:eastAsia="宋体" w:cs="Times New Roman"/>
      <w:sz w:val="21"/>
      <w:lang w:val="en-US" w:eastAsia="zh-CN" w:bidi="ar-SA"/>
    </w:rPr>
  </w:style>
  <w:style w:type="paragraph" w:customStyle="1" w:styleId="11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11">
    <w:name w:val="示例后文字"/>
    <w:basedOn w:val="28"/>
    <w:next w:val="28"/>
    <w:qFormat/>
    <w:uiPriority w:val="0"/>
    <w:pPr>
      <w:ind w:firstLine="360"/>
    </w:pPr>
    <w:rPr>
      <w:sz w:val="18"/>
    </w:rPr>
  </w:style>
  <w:style w:type="paragraph" w:customStyle="1" w:styleId="112">
    <w:name w:val="附录表标号"/>
    <w:basedOn w:val="1"/>
    <w:next w:val="28"/>
    <w:qFormat/>
    <w:uiPriority w:val="0"/>
    <w:pPr>
      <w:numPr>
        <w:ilvl w:val="0"/>
        <w:numId w:val="11"/>
      </w:numPr>
      <w:tabs>
        <w:tab w:val="clear" w:pos="0"/>
      </w:tabs>
      <w:spacing w:line="14" w:lineRule="exact"/>
      <w:ind w:left="811" w:hanging="448"/>
      <w:jc w:val="center"/>
      <w:outlineLvl w:val="0"/>
    </w:pPr>
    <w:rPr>
      <w:color w:val="FFFFFF"/>
    </w:rPr>
  </w:style>
  <w:style w:type="paragraph" w:customStyle="1" w:styleId="113">
    <w:name w:val="三级无"/>
    <w:basedOn w:val="90"/>
    <w:qFormat/>
    <w:uiPriority w:val="0"/>
    <w:pPr>
      <w:spacing w:before="0" w:beforeLines="0" w:after="0" w:afterLines="0"/>
    </w:pPr>
    <w:rPr>
      <w:rFonts w:ascii="宋体" w:eastAsia="宋体"/>
    </w:rPr>
  </w:style>
  <w:style w:type="paragraph" w:customStyle="1" w:styleId="114">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15">
    <w:name w:val="附录标题"/>
    <w:basedOn w:val="28"/>
    <w:next w:val="28"/>
    <w:qFormat/>
    <w:uiPriority w:val="0"/>
    <w:pPr>
      <w:ind w:firstLine="0" w:firstLineChars="0"/>
      <w:jc w:val="center"/>
    </w:pPr>
    <w:rPr>
      <w:rFonts w:ascii="黑体" w:eastAsia="黑体"/>
    </w:rPr>
  </w:style>
  <w:style w:type="paragraph" w:customStyle="1" w:styleId="11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17">
    <w:name w:val="注："/>
    <w:next w:val="28"/>
    <w:qFormat/>
    <w:uiPriority w:val="0"/>
    <w:pPr>
      <w:widowControl w:val="0"/>
      <w:numPr>
        <w:ilvl w:val="0"/>
        <w:numId w:val="12"/>
      </w:numPr>
      <w:autoSpaceDE w:val="0"/>
      <w:autoSpaceDN w:val="0"/>
      <w:jc w:val="both"/>
    </w:pPr>
    <w:rPr>
      <w:rFonts w:ascii="宋体" w:hAnsi="Times New Roman" w:eastAsia="宋体" w:cs="Times New Roman"/>
      <w:sz w:val="18"/>
      <w:szCs w:val="18"/>
      <w:lang w:val="en-US" w:eastAsia="zh-CN" w:bidi="ar-SA"/>
    </w:rPr>
  </w:style>
  <w:style w:type="paragraph" w:customStyle="1" w:styleId="118">
    <w:name w:val="附录四级无"/>
    <w:basedOn w:val="74"/>
    <w:qFormat/>
    <w:uiPriority w:val="0"/>
    <w:pPr>
      <w:tabs>
        <w:tab w:val="clear" w:pos="360"/>
      </w:tabs>
      <w:spacing w:before="0" w:beforeLines="0" w:after="0" w:afterLines="0"/>
    </w:pPr>
    <w:rPr>
      <w:rFonts w:ascii="宋体" w:eastAsia="宋体"/>
      <w:szCs w:val="21"/>
    </w:rPr>
  </w:style>
  <w:style w:type="paragraph" w:customStyle="1" w:styleId="119">
    <w:name w:val="附录标识"/>
    <w:basedOn w:val="1"/>
    <w:next w:val="28"/>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20">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21">
    <w:name w:val="一级无"/>
    <w:basedOn w:val="63"/>
    <w:qFormat/>
    <w:uiPriority w:val="0"/>
    <w:pPr>
      <w:spacing w:before="0" w:beforeLines="0" w:after="0" w:afterLines="0"/>
    </w:pPr>
    <w:rPr>
      <w:rFonts w:ascii="宋体" w:eastAsia="宋体"/>
    </w:rPr>
  </w:style>
  <w:style w:type="paragraph" w:customStyle="1" w:styleId="122">
    <w:name w:val="注：（正文）"/>
    <w:basedOn w:val="117"/>
    <w:next w:val="28"/>
    <w:qFormat/>
    <w:uiPriority w:val="0"/>
  </w:style>
  <w:style w:type="paragraph" w:customStyle="1" w:styleId="123">
    <w:name w:val="附录一级条标题"/>
    <w:basedOn w:val="92"/>
    <w:next w:val="28"/>
    <w:qFormat/>
    <w:uiPriority w:val="0"/>
    <w:pPr>
      <w:numPr>
        <w:ilvl w:val="2"/>
      </w:numPr>
      <w:autoSpaceDN w:val="0"/>
      <w:spacing w:before="50" w:beforeLines="50" w:after="50" w:afterLines="50"/>
      <w:outlineLvl w:val="2"/>
    </w:pPr>
  </w:style>
  <w:style w:type="paragraph" w:customStyle="1" w:styleId="124">
    <w:name w:val="正文图标题"/>
    <w:next w:val="28"/>
    <w:qFormat/>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25">
    <w:name w:val="注×：（正文）"/>
    <w:qFormat/>
    <w:uiPriority w:val="0"/>
    <w:pPr>
      <w:numPr>
        <w:ilvl w:val="0"/>
        <w:numId w:val="14"/>
      </w:numPr>
      <w:jc w:val="both"/>
    </w:pPr>
    <w:rPr>
      <w:rFonts w:ascii="宋体" w:hAnsi="Times New Roman" w:eastAsia="宋体" w:cs="Times New Roman"/>
      <w:sz w:val="18"/>
      <w:szCs w:val="18"/>
      <w:lang w:val="en-US" w:eastAsia="zh-CN" w:bidi="ar-SA"/>
    </w:rPr>
  </w:style>
  <w:style w:type="paragraph" w:customStyle="1" w:styleId="126">
    <w:name w:val="封面标准文稿类别2"/>
    <w:basedOn w:val="106"/>
    <w:qFormat/>
    <w:uiPriority w:val="0"/>
    <w:pPr>
      <w:framePr w:wrap="around" w:y="4469"/>
    </w:pPr>
  </w:style>
  <w:style w:type="paragraph" w:customStyle="1" w:styleId="127">
    <w:name w:val="图表脚注说明"/>
    <w:basedOn w:val="1"/>
    <w:qFormat/>
    <w:uiPriority w:val="0"/>
    <w:pPr>
      <w:numPr>
        <w:ilvl w:val="0"/>
        <w:numId w:val="15"/>
      </w:numPr>
    </w:pPr>
    <w:rPr>
      <w:rFonts w:ascii="宋体"/>
      <w:sz w:val="18"/>
      <w:szCs w:val="18"/>
    </w:rPr>
  </w:style>
  <w:style w:type="paragraph" w:customStyle="1" w:styleId="128">
    <w:name w:val="章标题"/>
    <w:next w:val="28"/>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29">
    <w:name w:val="附录图标号"/>
    <w:basedOn w:val="1"/>
    <w:qFormat/>
    <w:uiPriority w:val="0"/>
    <w:pPr>
      <w:keepNext/>
      <w:pageBreakBefore/>
      <w:widowControl/>
      <w:numPr>
        <w:ilvl w:val="0"/>
        <w:numId w:val="3"/>
      </w:numPr>
      <w:spacing w:line="14" w:lineRule="exact"/>
      <w:ind w:left="0" w:firstLine="363"/>
      <w:jc w:val="center"/>
      <w:outlineLvl w:val="0"/>
    </w:pPr>
    <w:rPr>
      <w:color w:val="FFFFFF"/>
    </w:rPr>
  </w:style>
  <w:style w:type="paragraph" w:customStyle="1" w:styleId="130">
    <w:name w:val="封面标准文稿编辑信息2"/>
    <w:basedOn w:val="131"/>
    <w:qFormat/>
    <w:uiPriority w:val="0"/>
    <w:pPr>
      <w:framePr w:wrap="around" w:y="4469"/>
    </w:pPr>
  </w:style>
  <w:style w:type="paragraph" w:customStyle="1" w:styleId="131">
    <w:name w:val="封面标准文稿编辑信息"/>
    <w:basedOn w:val="106"/>
    <w:qFormat/>
    <w:uiPriority w:val="0"/>
    <w:pPr>
      <w:framePr w:wrap="around"/>
      <w:spacing w:before="180" w:line="180" w:lineRule="exact"/>
    </w:pPr>
    <w:rPr>
      <w:sz w:val="21"/>
    </w:rPr>
  </w:style>
  <w:style w:type="paragraph" w:customStyle="1" w:styleId="132">
    <w:name w:val="四级无"/>
    <w:basedOn w:val="89"/>
    <w:qFormat/>
    <w:uiPriority w:val="0"/>
    <w:pPr>
      <w:spacing w:before="0" w:beforeLines="0" w:after="0" w:afterLines="0"/>
    </w:pPr>
    <w:rPr>
      <w:rFonts w:ascii="宋体" w:eastAsia="宋体"/>
    </w:rPr>
  </w:style>
  <w:style w:type="paragraph" w:customStyle="1" w:styleId="133">
    <w:name w:val="附录公式编号制表符"/>
    <w:basedOn w:val="1"/>
    <w:next w:val="28"/>
    <w:qFormat/>
    <w:uiPriority w:val="0"/>
    <w:pPr>
      <w:widowControl/>
      <w:tabs>
        <w:tab w:val="center" w:pos="4201"/>
        <w:tab w:val="right" w:leader="dot" w:pos="9298"/>
      </w:tabs>
      <w:autoSpaceDE w:val="0"/>
      <w:autoSpaceDN w:val="0"/>
    </w:pPr>
    <w:rPr>
      <w:rFonts w:ascii="宋体"/>
      <w:kern w:val="0"/>
      <w:szCs w:val="20"/>
    </w:rPr>
  </w:style>
  <w:style w:type="paragraph" w:customStyle="1" w:styleId="134">
    <w:name w:val="参考文献、索引标题"/>
    <w:basedOn w:val="1"/>
    <w:next w:val="28"/>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5">
    <w:name w:val="其他标准标志"/>
    <w:basedOn w:val="116"/>
    <w:qFormat/>
    <w:uiPriority w:val="0"/>
    <w:pPr>
      <w:framePr w:w="6101" w:wrap="around" w:vAnchor="page" w:hAnchor="page" w:x="4673" w:y="942"/>
    </w:pPr>
    <w:rPr>
      <w:w w:val="130"/>
    </w:rPr>
  </w:style>
  <w:style w:type="paragraph" w:customStyle="1" w:styleId="136">
    <w:name w:val="标准书眉一"/>
    <w:qFormat/>
    <w:uiPriority w:val="0"/>
    <w:pPr>
      <w:jc w:val="both"/>
    </w:pPr>
    <w:rPr>
      <w:rFonts w:ascii="Times New Roman" w:hAnsi="Times New Roman" w:eastAsia="宋体" w:cs="Times New Roman"/>
      <w:lang w:val="en-US" w:eastAsia="zh-CN" w:bidi="ar-SA"/>
    </w:rPr>
  </w:style>
  <w:style w:type="paragraph" w:customStyle="1" w:styleId="137">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38">
    <w:name w:val="终结线"/>
    <w:basedOn w:val="1"/>
    <w:qFormat/>
    <w:uiPriority w:val="0"/>
    <w:pPr>
      <w:framePr w:hSpace="181" w:vSpace="181" w:wrap="around" w:vAnchor="text" w:hAnchor="margin" w:xAlign="center" w:y="285"/>
    </w:pPr>
  </w:style>
  <w:style w:type="paragraph" w:customStyle="1" w:styleId="139">
    <w:name w:val="列项◆（三级）"/>
    <w:basedOn w:val="1"/>
    <w:qFormat/>
    <w:uiPriority w:val="0"/>
    <w:pPr>
      <w:numPr>
        <w:ilvl w:val="2"/>
        <w:numId w:val="7"/>
      </w:numPr>
    </w:pPr>
    <w:rPr>
      <w:rFonts w:ascii="宋体"/>
      <w:szCs w:val="21"/>
    </w:rPr>
  </w:style>
  <w:style w:type="paragraph" w:customStyle="1" w:styleId="140">
    <w:name w:val="示例"/>
    <w:next w:val="87"/>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数字编号列项（二级）"/>
    <w:qFormat/>
    <w:uiPriority w:val="0"/>
    <w:pPr>
      <w:numPr>
        <w:ilvl w:val="1"/>
        <w:numId w:val="10"/>
      </w:numPr>
      <w:jc w:val="both"/>
    </w:pPr>
    <w:rPr>
      <w:rFonts w:ascii="宋体" w:hAnsi="Times New Roman" w:eastAsia="宋体" w:cs="Times New Roman"/>
      <w:sz w:val="21"/>
      <w:lang w:val="en-US" w:eastAsia="zh-CN" w:bidi="ar-SA"/>
    </w:rPr>
  </w:style>
  <w:style w:type="paragraph" w:customStyle="1" w:styleId="143">
    <w:name w:val="封面标准英文名称2"/>
    <w:basedOn w:val="79"/>
    <w:qFormat/>
    <w:uiPriority w:val="0"/>
    <w:pPr>
      <w:framePr w:wrap="around" w:y="4469"/>
    </w:pPr>
  </w:style>
  <w:style w:type="paragraph" w:customStyle="1" w:styleId="14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145">
    <w:name w:val="图标脚注说明"/>
    <w:basedOn w:val="28"/>
    <w:qFormat/>
    <w:uiPriority w:val="0"/>
    <w:pPr>
      <w:ind w:left="840" w:hanging="420" w:firstLineChars="0"/>
    </w:pPr>
    <w:rPr>
      <w:sz w:val="18"/>
      <w:szCs w:val="18"/>
    </w:rPr>
  </w:style>
  <w:style w:type="paragraph" w:customStyle="1" w:styleId="146">
    <w:name w:val="示例×："/>
    <w:basedOn w:val="128"/>
    <w:qFormat/>
    <w:uiPriority w:val="0"/>
    <w:pPr>
      <w:numPr>
        <w:numId w:val="17"/>
      </w:numPr>
      <w:spacing w:before="0" w:beforeLines="0" w:after="0" w:afterLines="0"/>
      <w:outlineLvl w:val="9"/>
    </w:pPr>
    <w:rPr>
      <w:rFonts w:ascii="宋体" w:eastAsia="宋体"/>
      <w:sz w:val="18"/>
      <w:szCs w:val="18"/>
    </w:rPr>
  </w:style>
  <w:style w:type="paragraph" w:customStyle="1" w:styleId="147">
    <w:name w:val="附录一级无"/>
    <w:basedOn w:val="123"/>
    <w:qFormat/>
    <w:uiPriority w:val="0"/>
    <w:pPr>
      <w:tabs>
        <w:tab w:val="clear" w:pos="360"/>
      </w:tabs>
      <w:spacing w:before="0" w:beforeLines="0" w:after="0" w:afterLines="0"/>
    </w:pPr>
    <w:rPr>
      <w:rFonts w:ascii="宋体" w:eastAsia="宋体"/>
      <w:szCs w:val="21"/>
    </w:rPr>
  </w:style>
  <w:style w:type="paragraph" w:customStyle="1" w:styleId="148">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49">
    <w:name w:val="五级无"/>
    <w:basedOn w:val="88"/>
    <w:qFormat/>
    <w:uiPriority w:val="0"/>
    <w:pPr>
      <w:spacing w:before="0" w:beforeLines="0" w:after="0" w:afterLines="0"/>
    </w:pPr>
    <w:rPr>
      <w:rFonts w:ascii="宋体" w:eastAsia="宋体"/>
    </w:rPr>
  </w:style>
  <w:style w:type="paragraph" w:customStyle="1" w:styleId="150">
    <w:name w:val="条文脚注"/>
    <w:basedOn w:val="29"/>
    <w:qFormat/>
    <w:uiPriority w:val="0"/>
    <w:pPr>
      <w:numPr>
        <w:numId w:val="0"/>
      </w:numPr>
      <w:jc w:val="both"/>
    </w:pPr>
  </w:style>
  <w:style w:type="paragraph" w:customStyle="1" w:styleId="151">
    <w:name w:val="标准书眉_偶数页"/>
    <w:basedOn w:val="114"/>
    <w:next w:val="1"/>
    <w:qFormat/>
    <w:uiPriority w:val="0"/>
    <w:pPr>
      <w:jc w:val="left"/>
    </w:pPr>
  </w:style>
  <w:style w:type="paragraph" w:customStyle="1" w:styleId="15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3">
    <w:name w:val="标准文件_段"/>
    <w:link w:val="15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54">
    <w:name w:val="标准文件_段 Char"/>
    <w:link w:val="153"/>
    <w:qFormat/>
    <w:uiPriority w:val="0"/>
    <w:rPr>
      <w:rFonts w:ascii="宋体"/>
      <w:sz w:val="21"/>
    </w:rPr>
  </w:style>
  <w:style w:type="paragraph" w:customStyle="1" w:styleId="155">
    <w:name w:val="3级条标题【标准文件】"/>
    <w:basedOn w:val="1"/>
    <w:link w:val="156"/>
    <w:qFormat/>
    <w:uiPriority w:val="0"/>
    <w:pPr>
      <w:tabs>
        <w:tab w:val="left" w:pos="0"/>
      </w:tabs>
      <w:outlineLvl w:val="3"/>
    </w:pPr>
    <w:rPr>
      <w:rFonts w:ascii="宋体" w:hAnsi="宋体"/>
      <w:szCs w:val="21"/>
    </w:rPr>
  </w:style>
  <w:style w:type="character" w:customStyle="1" w:styleId="156">
    <w:name w:val="3级条标题【标准文件】 字符"/>
    <w:link w:val="155"/>
    <w:qFormat/>
    <w:uiPriority w:val="0"/>
    <w:rPr>
      <w:rFonts w:ascii="宋体" w:hAnsi="宋体"/>
      <w:kern w:val="2"/>
      <w:sz w:val="21"/>
      <w:szCs w:val="21"/>
    </w:rPr>
  </w:style>
  <w:style w:type="paragraph" w:customStyle="1" w:styleId="157">
    <w:name w:val="标准文件_二级条标题"/>
    <w:next w:val="1"/>
    <w:qFormat/>
    <w:uiPriority w:val="0"/>
    <w:pPr>
      <w:widowControl w:val="0"/>
      <w:spacing w:beforeLines="50" w:afterLines="50"/>
      <w:jc w:val="both"/>
      <w:outlineLvl w:val="2"/>
    </w:pPr>
    <w:rPr>
      <w:rFonts w:ascii="黑体" w:hAnsi="Times New Roman" w:eastAsia="黑体" w:cs="Times New Roman"/>
      <w:sz w:val="21"/>
      <w:lang w:val="en-US" w:eastAsia="zh-CN" w:bidi="ar-SA"/>
    </w:rPr>
  </w:style>
  <w:style w:type="paragraph" w:customStyle="1" w:styleId="158">
    <w:name w:val="标准文件_三级条标题"/>
    <w:basedOn w:val="157"/>
    <w:next w:val="1"/>
    <w:qFormat/>
    <w:uiPriority w:val="0"/>
    <w:pPr>
      <w:widowControl/>
      <w:outlineLvl w:val="3"/>
    </w:pPr>
  </w:style>
  <w:style w:type="paragraph" w:customStyle="1" w:styleId="159">
    <w:name w:val="标准文件_四级条标题"/>
    <w:next w:val="1"/>
    <w:qFormat/>
    <w:uiPriority w:val="0"/>
    <w:pPr>
      <w:widowControl w:val="0"/>
      <w:spacing w:beforeLines="50" w:afterLines="50"/>
      <w:jc w:val="both"/>
      <w:outlineLvl w:val="4"/>
    </w:pPr>
    <w:rPr>
      <w:rFonts w:ascii="黑体" w:hAnsi="Times New Roman" w:eastAsia="黑体" w:cs="Times New Roman"/>
      <w:sz w:val="21"/>
      <w:lang w:val="en-US" w:eastAsia="zh-CN" w:bidi="ar-SA"/>
    </w:rPr>
  </w:style>
  <w:style w:type="paragraph" w:customStyle="1" w:styleId="160">
    <w:name w:val="标准文件_五级条标题"/>
    <w:next w:val="1"/>
    <w:qFormat/>
    <w:uiPriority w:val="0"/>
    <w:pPr>
      <w:widowControl w:val="0"/>
      <w:spacing w:beforeLines="50" w:afterLines="50"/>
      <w:jc w:val="both"/>
      <w:outlineLvl w:val="5"/>
    </w:pPr>
    <w:rPr>
      <w:rFonts w:ascii="黑体" w:hAnsi="Times New Roman" w:eastAsia="黑体" w:cs="Times New Roman"/>
      <w:sz w:val="21"/>
      <w:lang w:val="en-US" w:eastAsia="zh-CN" w:bidi="ar-SA"/>
    </w:rPr>
  </w:style>
  <w:style w:type="paragraph" w:customStyle="1" w:styleId="161">
    <w:name w:val="标准文件_章标题"/>
    <w:next w:val="1"/>
    <w:qFormat/>
    <w:uiPriority w:val="0"/>
    <w:pPr>
      <w:spacing w:beforeLines="100" w:afterLines="100"/>
      <w:jc w:val="both"/>
      <w:outlineLvl w:val="0"/>
    </w:pPr>
    <w:rPr>
      <w:rFonts w:ascii="黑体" w:hAnsi="Times New Roman" w:eastAsia="黑体" w:cs="Times New Roman"/>
      <w:sz w:val="21"/>
      <w:lang w:val="en-US" w:eastAsia="zh-CN" w:bidi="ar-SA"/>
    </w:rPr>
  </w:style>
  <w:style w:type="paragraph" w:customStyle="1" w:styleId="162">
    <w:name w:val="标准文件_一级条标题"/>
    <w:basedOn w:val="161"/>
    <w:next w:val="1"/>
    <w:qFormat/>
    <w:uiPriority w:val="0"/>
    <w:pPr>
      <w:spacing w:beforeLines="50" w:afterLines="50"/>
      <w:ind w:left="1701"/>
      <w:outlineLvl w:val="1"/>
    </w:pPr>
  </w:style>
  <w:style w:type="paragraph" w:customStyle="1" w:styleId="163">
    <w:name w:val="前言标题"/>
    <w:next w:val="1"/>
    <w:qFormat/>
    <w:uiPriority w:val="0"/>
    <w:pPr>
      <w:shd w:val="clear" w:color="auto" w:fill="FFFFFF"/>
      <w:spacing w:before="540" w:after="600"/>
      <w:jc w:val="center"/>
      <w:outlineLvl w:val="0"/>
    </w:pPr>
    <w:rPr>
      <w:rFonts w:ascii="黑体" w:hAnsi="Times New Roman" w:eastAsia="黑体" w:cs="Times New Roman"/>
      <w:sz w:val="32"/>
      <w:lang w:val="en-US" w:eastAsia="zh-CN" w:bidi="ar-SA"/>
    </w:rPr>
  </w:style>
  <w:style w:type="paragraph" w:customStyle="1" w:styleId="164">
    <w:name w:val="标准文件_三级无标题"/>
    <w:basedOn w:val="158"/>
    <w:qFormat/>
    <w:uiPriority w:val="0"/>
    <w:pPr>
      <w:spacing w:beforeLines="0" w:afterLines="0"/>
      <w:outlineLvl w:val="9"/>
    </w:pPr>
    <w:rPr>
      <w:rFonts w:ascii="宋体" w:eastAsia="宋体"/>
    </w:rPr>
  </w:style>
  <w:style w:type="paragraph" w:customStyle="1" w:styleId="165">
    <w:name w:val="标准文件_数字编号列项（二级）"/>
    <w:qFormat/>
    <w:uiPriority w:val="0"/>
    <w:pPr>
      <w:tabs>
        <w:tab w:val="left" w:pos="1276"/>
      </w:tabs>
      <w:ind w:left="1276" w:hanging="425"/>
      <w:jc w:val="both"/>
    </w:pPr>
    <w:rPr>
      <w:rFonts w:ascii="宋体" w:hAnsi="Times New Roman" w:eastAsia="宋体" w:cs="Times New Roman"/>
      <w:sz w:val="21"/>
      <w:lang w:val="en-US" w:eastAsia="zh-CN" w:bidi="ar-SA"/>
    </w:rPr>
  </w:style>
  <w:style w:type="paragraph" w:customStyle="1" w:styleId="166">
    <w:name w:val="标准文件_编号列项（三级）"/>
    <w:qFormat/>
    <w:uiPriority w:val="0"/>
    <w:pPr>
      <w:ind w:left="1701" w:hanging="425"/>
    </w:pPr>
    <w:rPr>
      <w:rFonts w:ascii="宋体" w:hAnsi="Times New Roman" w:eastAsia="宋体" w:cs="Times New Roman"/>
      <w:sz w:val="21"/>
      <w:lang w:val="en-US" w:eastAsia="zh-CN" w:bidi="ar-SA"/>
    </w:rPr>
  </w:style>
  <w:style w:type="paragraph" w:customStyle="1" w:styleId="167">
    <w:name w:val="标准文件_字母编号列项（一级）"/>
    <w:qFormat/>
    <w:uiPriority w:val="0"/>
    <w:pPr>
      <w:tabs>
        <w:tab w:val="left" w:pos="851"/>
      </w:tabs>
      <w:ind w:left="851" w:hanging="426"/>
      <w:jc w:val="both"/>
    </w:pPr>
    <w:rPr>
      <w:rFonts w:ascii="宋体" w:hAnsi="Times New Roman" w:eastAsia="宋体" w:cs="Times New Roman"/>
      <w:sz w:val="21"/>
      <w:lang w:val="en-US" w:eastAsia="zh-CN" w:bidi="ar-SA"/>
    </w:rPr>
  </w:style>
  <w:style w:type="paragraph" w:customStyle="1" w:styleId="168">
    <w:name w:val="标准文件_一级项"/>
    <w:qFormat/>
    <w:uiPriority w:val="0"/>
    <w:pPr>
      <w:tabs>
        <w:tab w:val="left" w:pos="851"/>
      </w:tabs>
      <w:ind w:left="851" w:hanging="426"/>
    </w:pPr>
    <w:rPr>
      <w:rFonts w:ascii="宋体" w:hAnsi="Times New Roman" w:eastAsia="宋体" w:cs="Times New Roman"/>
      <w:sz w:val="21"/>
      <w:lang w:val="en-US" w:eastAsia="zh-CN" w:bidi="ar-SA"/>
    </w:rPr>
  </w:style>
  <w:style w:type="paragraph" w:customStyle="1" w:styleId="169">
    <w:name w:val="标准文件_三级项"/>
    <w:basedOn w:val="1"/>
    <w:qFormat/>
    <w:uiPriority w:val="0"/>
    <w:pPr>
      <w:adjustRightInd w:val="0"/>
      <w:spacing w:line="300" w:lineRule="exact"/>
      <w:ind w:left="851" w:hanging="426"/>
    </w:pPr>
    <w:rPr>
      <w:szCs w:val="21"/>
    </w:rPr>
  </w:style>
  <w:style w:type="paragraph" w:customStyle="1" w:styleId="170">
    <w:name w:val="标准文件_二级项2"/>
    <w:basedOn w:val="1"/>
    <w:qFormat/>
    <w:uiPriority w:val="0"/>
    <w:pPr>
      <w:widowControl/>
      <w:autoSpaceDE w:val="0"/>
      <w:autoSpaceDN w:val="0"/>
      <w:ind w:left="1271" w:hanging="420"/>
    </w:pPr>
    <w:rPr>
      <w:rFonts w:ascii="宋体"/>
      <w:kern w:val="0"/>
      <w:szCs w:val="20"/>
    </w:rPr>
  </w:style>
  <w:style w:type="paragraph" w:customStyle="1" w:styleId="171">
    <w:name w:val="标准文件_二级无标题"/>
    <w:basedOn w:val="157"/>
    <w:qFormat/>
    <w:uiPriority w:val="0"/>
    <w:pPr>
      <w:numPr>
        <w:ilvl w:val="3"/>
        <w:numId w:val="1"/>
      </w:numPr>
      <w:spacing w:beforeLines="0" w:afterLines="0"/>
      <w:ind w:left="0"/>
      <w:outlineLvl w:val="9"/>
    </w:pPr>
    <w:rPr>
      <w:rFonts w:ascii="宋体" w:eastAsia="宋体"/>
    </w:rPr>
  </w:style>
  <w:style w:type="paragraph" w:customStyle="1" w:styleId="172">
    <w:name w:val="_Style 165"/>
    <w:unhideWhenUsed/>
    <w:qFormat/>
    <w:uiPriority w:val="99"/>
    <w:rPr>
      <w:rFonts w:ascii="Times New Roman" w:hAnsi="Times New Roman" w:eastAsia="宋体" w:cs="Times New Roman"/>
      <w:kern w:val="2"/>
      <w:sz w:val="21"/>
      <w:szCs w:val="24"/>
      <w:lang w:val="en-US" w:eastAsia="zh-CN" w:bidi="ar-SA"/>
    </w:rPr>
  </w:style>
  <w:style w:type="paragraph" w:customStyle="1" w:styleId="173">
    <w:name w:val="1级标题【标准文件】"/>
    <w:next w:val="1"/>
    <w:link w:val="174"/>
    <w:qFormat/>
    <w:uiPriority w:val="99"/>
    <w:pPr>
      <w:spacing w:before="312" w:beforeLines="100" w:after="312" w:afterLines="100" w:line="360" w:lineRule="exact"/>
      <w:outlineLvl w:val="0"/>
    </w:pPr>
    <w:rPr>
      <w:rFonts w:ascii="黑体" w:hAnsi="Calibri" w:eastAsia="黑体" w:cs="Times New Roman"/>
      <w:kern w:val="2"/>
      <w:sz w:val="21"/>
      <w:szCs w:val="21"/>
      <w:lang w:val="en-US" w:eastAsia="zh-CN" w:bidi="ar-SA"/>
    </w:rPr>
  </w:style>
  <w:style w:type="character" w:customStyle="1" w:styleId="174">
    <w:name w:val="1级标题【标准文件】 字符"/>
    <w:link w:val="173"/>
    <w:qFormat/>
    <w:uiPriority w:val="99"/>
    <w:rPr>
      <w:rFonts w:ascii="黑体" w:hAnsi="Calibri" w:eastAsia="黑体"/>
      <w:kern w:val="2"/>
      <w:sz w:val="21"/>
      <w:szCs w:val="21"/>
    </w:rPr>
  </w:style>
  <w:style w:type="paragraph" w:styleId="175">
    <w:name w:val="List Paragraph"/>
    <w:basedOn w:val="1"/>
    <w:link w:val="176"/>
    <w:qFormat/>
    <w:uiPriority w:val="99"/>
    <w:pPr>
      <w:ind w:firstLine="420" w:firstLineChars="200"/>
    </w:pPr>
  </w:style>
  <w:style w:type="character" w:customStyle="1" w:styleId="176">
    <w:name w:val="列表段落 字符"/>
    <w:link w:val="175"/>
    <w:qFormat/>
    <w:uiPriority w:val="99"/>
    <w:rPr>
      <w:kern w:val="2"/>
      <w:sz w:val="21"/>
      <w:szCs w:val="24"/>
    </w:rPr>
  </w:style>
  <w:style w:type="paragraph" w:customStyle="1" w:styleId="177">
    <w:name w:val="2级标题【标准文件】"/>
    <w:basedOn w:val="173"/>
    <w:link w:val="178"/>
    <w:qFormat/>
    <w:uiPriority w:val="0"/>
    <w:pPr>
      <w:spacing w:before="156" w:beforeLines="50" w:after="156" w:afterLines="50"/>
      <w:outlineLvl w:val="1"/>
    </w:pPr>
    <w:rPr>
      <w:rFonts w:hAnsi="Times New Roman"/>
      <w:kern w:val="0"/>
    </w:rPr>
  </w:style>
  <w:style w:type="character" w:customStyle="1" w:styleId="178">
    <w:name w:val="2级标题【标准文件】 字符"/>
    <w:link w:val="177"/>
    <w:qFormat/>
    <w:uiPriority w:val="0"/>
    <w:rPr>
      <w:rFonts w:ascii="黑体" w:eastAsia="黑体"/>
      <w:sz w:val="21"/>
      <w:szCs w:val="21"/>
    </w:rPr>
  </w:style>
  <w:style w:type="paragraph" w:customStyle="1" w:styleId="179">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180">
    <w:name w:val="未处理的提及1"/>
    <w:basedOn w:val="41"/>
    <w:semiHidden/>
    <w:unhideWhenUsed/>
    <w:qFormat/>
    <w:uiPriority w:val="99"/>
    <w:rPr>
      <w:color w:val="605E5C"/>
      <w:shd w:val="clear" w:color="auto" w:fill="E1DFDD"/>
    </w:rPr>
  </w:style>
  <w:style w:type="character" w:customStyle="1" w:styleId="181">
    <w:name w:val="正文文本 字符"/>
    <w:basedOn w:val="41"/>
    <w:link w:val="2"/>
    <w:qFormat/>
    <w:uiPriority w:val="99"/>
    <w:rPr>
      <w:kern w:val="2"/>
      <w:sz w:val="21"/>
      <w:szCs w:val="24"/>
    </w:rPr>
  </w:style>
  <w:style w:type="paragraph" w:customStyle="1" w:styleId="182">
    <w:name w:val="列表段落1"/>
    <w:basedOn w:val="1"/>
    <w:qFormat/>
    <w:uiPriority w:val="0"/>
    <w:pPr>
      <w:ind w:firstLine="420" w:firstLineChars="200"/>
    </w:pPr>
    <w:rPr>
      <w:szCs w:val="21"/>
    </w:rPr>
  </w:style>
  <w:style w:type="character" w:customStyle="1" w:styleId="183">
    <w:name w:val="标题 1 字符"/>
    <w:basedOn w:val="41"/>
    <w:link w:val="3"/>
    <w:qFormat/>
    <w:uiPriority w:val="0"/>
    <w:rPr>
      <w:b/>
      <w:bCs/>
      <w:kern w:val="44"/>
      <w:sz w:val="44"/>
      <w:szCs w:val="44"/>
    </w:rPr>
  </w:style>
  <w:style w:type="character" w:customStyle="1" w:styleId="184">
    <w:name w:val="标题 3 字符"/>
    <w:basedOn w:val="41"/>
    <w:link w:val="5"/>
    <w:semiHidden/>
    <w:qFormat/>
    <w:uiPriority w:val="0"/>
    <w:rPr>
      <w:b/>
      <w:bCs/>
      <w:kern w:val="2"/>
      <w:sz w:val="32"/>
      <w:szCs w:val="32"/>
    </w:rPr>
  </w:style>
  <w:style w:type="paragraph" w:customStyle="1" w:styleId="185">
    <w:name w:val="ds-markdown-paragraph"/>
    <w:basedOn w:val="1"/>
    <w:qFormat/>
    <w:uiPriority w:val="0"/>
    <w:pPr>
      <w:widowControl/>
      <w:spacing w:before="100" w:beforeAutospacing="1" w:after="100" w:afterAutospacing="1"/>
      <w:jc w:val="left"/>
    </w:pPr>
    <w:rPr>
      <w:rFonts w:ascii="宋体" w:hAnsi="宋体" w:cs="宋体"/>
      <w:kern w:val="0"/>
      <w:sz w:val="24"/>
    </w:rPr>
  </w:style>
  <w:style w:type="character" w:customStyle="1" w:styleId="186">
    <w:name w:val="_2ed5dee"/>
    <w:basedOn w:val="41"/>
    <w:qFormat/>
    <w:uiPriority w:val="0"/>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4db1e91a-15a7-4c48-ac05-979cc0db3e6c</errorID>
      <errorWord>6</errorWord>
      <group>L1_Format</group>
      <groupName>格式问题</groupName>
      <ability>L2_Ordinal</ability>
      <abilityName>序号格式</abilityName>
      <candidateList>
        <item>5</item>
      </candidateList>
      <explain>标题顺序错误，请检查标题顺序是否合理。</explain>
      <paraID> 6511011</paraID>
      <start>4</start>
      <end>5</end>
      <status>ignored</status>
      <modifiedWord/>
      <trackRevisions>false</trackRevisions>
    </reviewItem>
    <reviewItem>
      <errorID>327452d6-58d5-4c66-9d41-324c280a64bb</errorID>
      <errorWord>7</errorWord>
      <group>L1_Format</group>
      <groupName>格式问题</groupName>
      <ability>L2_Ordinal</ability>
      <abilityName>序号格式</abilityName>
      <candidateList>
        <item>6</item>
      </candidateList>
      <explain>标题顺序错误，请检查标题顺序是否合理。</explain>
      <paraID> 6511011</paraID>
      <start>5</start>
      <end>6</end>
      <status>ignored</status>
      <modifiedWord/>
      <trackRevisions>false</trackRevisions>
    </reviewItem>
    <reviewItem>
      <errorID>f4f41fda-b73a-4cd1-b004-31c4a39d0fc8</errorID>
      <errorWord>JB</errorWord>
      <group>L1_Sensitive</group>
      <groupName>敏感问题</groupName>
      <ability>L2_Abuse</ability>
      <abilityName>侮辱言辞</abilityName>
      <candidateList/>
      <explain>【侮辱言辞】句中涉及侮辱性的敏感内容，请注意甄别。</explain>
      <paraID>48A50771</paraID>
      <start>12</start>
      <end>14</end>
      <status>ignored</status>
      <modifiedWord/>
      <trackRevisions>false</trackRevisions>
    </reviewItem>
    <reviewItem>
      <errorID>27e7325f-585b-4ad9-9336-a6248abfc849</errorID>
      <errorWord>JB</errorWord>
      <group>L1_Sensitive</group>
      <groupName>敏感问题</groupName>
      <ability>L2_Abuse</ability>
      <abilityName>侮辱言辞</abilityName>
      <candidateList/>
      <explain>【侮辱言辞】句中涉及侮辱性的敏感内容，请注意甄别。</explain>
      <paraID>7BF20687</paraID>
      <start>12</start>
      <end>14</end>
      <status>ignored</status>
      <modifiedWord/>
      <trackRevisions>false</trackRevisions>
    </reviewItem>
    <reviewItem>
      <errorID>b90511d3-5c90-437f-9008-d96766dce351</errorID>
      <errorWord>JB</errorWord>
      <group>L1_Sensitive</group>
      <groupName>敏感问题</groupName>
      <ability>L2_Abuse</ability>
      <abilityName>侮辱言辞</abilityName>
      <candidateList/>
      <explain>【侮辱言辞】句中涉及侮辱性的敏感内容，请注意甄别。</explain>
      <paraID> EF1668D</paraID>
      <start>2</start>
      <end>4</end>
      <status>ignored</status>
      <modifiedWord/>
      <trackRevisions>false</trackRevisions>
    </reviewItem>
    <reviewItem>
      <errorID>8859170f-b0ae-409e-9664-403817ab312f</errorID>
      <errorWord>JB</errorWord>
      <group>L1_Sensitive</group>
      <groupName>敏感问题</groupName>
      <ability>L2_Abuse</ability>
      <abilityName>侮辱言辞</abilityName>
      <candidateList/>
      <explain>【侮辱言辞】句中涉及侮辱性的敏感内容，请注意甄别。</explain>
      <paraID>287DA353</paraID>
      <start>5</start>
      <end>7</end>
      <status>ignored</status>
      <modifiedWord/>
      <trackRevisions>false</trackRevisions>
    </reviewItem>
    <reviewItem>
      <errorID>a2401316-add2-4441-a366-460139edf02f</errorID>
      <errorWord>JB</errorWord>
      <group>L1_Sensitive</group>
      <groupName>敏感问题</groupName>
      <ability>L2_Abuse</ability>
      <abilityName>侮辱言辞</abilityName>
      <candidateList/>
      <explain>【侮辱言辞】句中涉及侮辱性的敏感内容，请注意甄别。</explain>
      <paraID>287DA353</paraID>
      <start>27</start>
      <end>29</end>
      <status>ignored</status>
      <modifiedWord/>
      <trackRevisions>false</trackRevisions>
    </reviewItem>
    <reviewItem>
      <errorID>6f5afe45-977e-4ae2-9d4e-b842cdca081e</errorID>
      <errorWord>JB</errorWord>
      <group>L1_Sensitive</group>
      <groupName>敏感问题</groupName>
      <ability>L2_Abuse</ability>
      <abilityName>侮辱言辞</abilityName>
      <candidateList/>
      <explain>【侮辱言辞】句中涉及侮辱性的敏感内容，请注意甄别。</explain>
      <paraID>2EEA82C9</paraID>
      <start>12</start>
      <end>14</end>
      <status>ignored</status>
      <modifiedWord/>
      <trackRevisions>false</trackRevisions>
    </reviewItem>
    <reviewItem>
      <errorID>7bb6da25-f359-479a-8d25-383adc83f50f</errorID>
      <errorWord>19</errorWord>
      <group>L1_Format</group>
      <groupName>格式问题</groupName>
      <ability>L2_Ordinal</ability>
      <abilityName>序号格式</abilityName>
      <candidateList>
        <item>18</item>
      </candidateList>
      <explain>标题顺序错误，请检查标题顺序是否合理。</explain>
      <paraID>6427A225</paraID>
      <start>5</start>
      <end>7</end>
      <status>ignored</status>
      <modifiedWord/>
      <trackRevisions>false</trackRevisions>
    </reviewItem>
    <reviewItem>
      <errorID>3c29c01d-33c3-4957-b107-d223ff7b3f75</errorID>
      <errorWord>-</errorWord>
      <group>L1_Format</group>
      <groupName>格式问题</groupName>
      <ability>L2_HalfPunc_CN</ability>
      <abilityName>全半角问题</abilityName>
      <candidateList>
        <item>－</item>
      </candidateList>
      <explain>文本全半角错误。</explain>
      <paraID>5E700857</paraID>
      <start>44</start>
      <end>45</end>
      <status>ignored</status>
      <modifiedWord/>
      <trackRevisions>false</trackRevisions>
    </reviewItem>
    <reviewItem>
      <errorID>798a5a8d-4872-4804-b9fa-f1c418de284e</errorID>
      <errorWord>高于</errorWord>
      <group>L1_Word</group>
      <groupName>字词问题</groupName>
      <ability>L2_Typo</ability>
      <abilityName>字词错误</abilityName>
      <candidateList>
        <item>优于</item>
      </candidateList>
      <explain/>
      <paraID> 88CDAE9</paraID>
      <start>34</start>
      <end>36</end>
      <status>ignored</status>
      <modifiedWord/>
      <trackRevisions>false</trackRevisions>
    </reviewItem>
    <reviewItem>
      <errorID>1b71fe0e-9008-4a57-98bc-8395fdfcf320</errorID>
      <errorWord>完备</errorWord>
      <group>L1_Word</group>
      <groupName>字词问题</groupName>
      <ability>L2_Typo</ability>
      <abilityName>字词错误</abilityName>
      <candidateList>
        <item>完善</item>
      </candidateList>
      <explain/>
      <paraID> 51E39A5</paraID>
      <start>32</start>
      <end>34</end>
      <status>ignored</status>
      <modifiedWord/>
      <trackRevisions>false</trackRevisions>
    </reviewItem>
    <reviewItem>
      <errorID>c6b16b9d-60c9-4142-b63b-df0e67acd7d1</errorID>
      <errorWord>应能</errorWord>
      <group>L1_Word</group>
      <groupName>字词问题</groupName>
      <ability>L2_Typo</ability>
      <abilityName>字词错误</abilityName>
      <candidateList>
        <item>应</item>
      </candidateList>
      <explain/>
      <paraID>33CD3E29</paraID>
      <start>35</start>
      <end>37</end>
      <status>ignored</status>
      <modifiedWord/>
      <trackRevisions>false</trackRevisions>
    </reviewItem>
    <reviewItem>
      <errorID>8d077da6-93b0-47fa-b634-0e8b05cee9eb</errorID>
      <errorWord>s时间</errorWord>
      <group>L1_Grammar</group>
      <groupName>语法问题</groupName>
      <ability>L2_Grammar</ability>
      <abilityName>语法错误</abilityName>
      <candidateList>
        <item>s</item>
      </candidateList>
      <explain/>
      <paraID>235D6D0D</paraID>
      <start>67</start>
      <end>70</end>
      <status>ignored</status>
      <modifiedWord/>
      <trackRevisions>false</trackRevisions>
    </reviewItem>
    <reviewItem>
      <errorID>237561d5-9db9-4c2b-8d93-68354d306c4d</errorID>
      <errorWord>渗（漏）</errorWord>
      <group>L1_Grammar</group>
      <groupName>语法问题</groupName>
      <ability>L2_Grammar</ability>
      <abilityName>语法错误</abilityName>
      <candidateList>
        <item>渗漏</item>
      </candidateList>
      <explain/>
      <paraID>4DC14323</paraID>
      <start>49</start>
      <end>53</end>
      <status>ignored</status>
      <modifiedWord/>
      <trackRevisions>false</trackRevisions>
    </reviewItem>
    <reviewItem>
      <errorID>7d2a02c5-3e56-4a00-a4f2-137f9645dbf2</errorID>
      <errorWord>。</errorWord>
      <group>L1_Punc</group>
      <groupName>标点问题</groupName>
      <ability>L2_Punc_CN</ability>
      <abilityName>标点符号问题</abilityName>
      <candidateList>
        <item>，</item>
      </candidateList>
      <explain/>
      <paraID>2D3A332A</paraID>
      <start>101</start>
      <end>102</end>
      <status>ignored</status>
      <modifiedWord/>
      <trackRevisions>false</trackRevisions>
    </reviewItem>
    <reviewItem>
      <errorID>8b7c9e1a-e4a0-4e6a-828c-2494599d97bd</errorID>
      <errorWord>按</errorWord>
      <group>L1_Punc</group>
      <groupName>标点问题</groupName>
      <ability>L2_Punc_CN</ability>
      <abilityName>标点符号问题</abilityName>
      <candidateList>
        <item>，按</item>
      </candidateList>
      <explain/>
      <paraID>3054B82D</paraID>
      <start>30</start>
      <end>32</end>
      <status>modified</status>
      <modifiedWord>，按</modifiedWord>
      <trackRevisions>false</trackRevisions>
    </reviewItem>
    <reviewItem>
      <errorID>b2e8f677-d5b5-49e7-8cc3-92c650281ea5</errorID>
      <errorWord>成品质量</errorWord>
      <group>L1_Grammar</group>
      <groupName>语法问题</groupName>
      <ability>L2_Grammar</ability>
      <abilityName>语法错误</abilityName>
      <candidateList>
        <item>成品</item>
      </candidateList>
      <explain/>
      <paraID>4C0B70EB</paraID>
      <start>25</start>
      <end>29</end>
      <status>ignored</status>
      <modifiedWord/>
      <trackRevisions>false</trackRevisions>
    </reviewItem>
    <reviewItem>
      <errorID>6ca27629-58cc-4463-998f-e2f381f5e6e3</errorID>
      <errorWord>（</errorWord>
      <group>L1_Format</group>
      <groupName>格式问题</groupName>
      <ability>L2_HalfPunc_CN</ability>
      <abilityName>全半角问题</abilityName>
      <candidateList>
        <item>(</item>
      </candidateList>
      <explain>文本全半角错误。</explain>
      <paraID>6DF7C361</paraID>
      <start>22</start>
      <end>23</end>
      <status>ignored</status>
      <modifiedWord/>
      <trackRevisions>false</trackRevisions>
    </reviewItem>
    <reviewItem>
      <errorID>ee59b0c4-155f-4a55-afbe-8535e7160e94</errorID>
      <errorWord>）</errorWord>
      <group>L1_Format</group>
      <groupName>格式问题</groupName>
      <ability>L2_HalfPunc_CN</ability>
      <abilityName>全半角问题</abilityName>
      <candidateList>
        <item>)</item>
      </candidateList>
      <explain>文本全半角错误。</explain>
      <paraID>6DF7C361</paraID>
      <start>24</start>
      <end>25</end>
      <status>ignored</status>
      <modifiedWord/>
      <trackRevisions>false</trackRevisions>
    </reviewItem>
    <reviewItem>
      <errorID>2ae68516-dac3-477f-a207-03d7d6018277</errorID>
      <errorWord>（</errorWord>
      <group>L1_Format</group>
      <groupName>格式问题</groupName>
      <ability>L2_HalfPunc_CN</ability>
      <abilityName>全半角问题</abilityName>
      <candidateList>
        <item>(</item>
      </candidateList>
      <explain>文本全半角错误。</explain>
      <paraID>7EE5C6F5</paraID>
      <start>18</start>
      <end>19</end>
      <status>ignored</status>
      <modifiedWord/>
      <trackRevisions>false</trackRevisions>
    </reviewItem>
    <reviewItem>
      <errorID>3cb3f654-c0a5-4091-b5ad-c296f0647302</errorID>
      <errorWord>）</errorWord>
      <group>L1_Format</group>
      <groupName>格式问题</groupName>
      <ability>L2_HalfPunc_CN</ability>
      <abilityName>全半角问题</abilityName>
      <candidateList>
        <item>)</item>
      </candidateList>
      <explain>文本全半角错误。</explain>
      <paraID>7EE5C6F5</paraID>
      <start>20</start>
      <end>21</end>
      <status>ignored</status>
      <modifiedWord/>
      <trackRevisions>false</trackRevisions>
    </reviewItem>
    <reviewItem>
      <errorID>8de6221c-5471-4b94-bdc9-a0bedbab612c</errorID>
      <errorWord>（</errorWord>
      <group>L1_Format</group>
      <groupName>格式问题</groupName>
      <ability>L2_HalfPunc_CN</ability>
      <abilityName>全半角问题</abilityName>
      <candidateList>
        <item>(</item>
      </candidateList>
      <explain>文本全半角错误。</explain>
      <paraID>1D69FF8A</paraID>
      <start>30</start>
      <end>31</end>
      <status>ignored</status>
      <modifiedWord/>
      <trackRevisions>false</trackRevisions>
    </reviewItem>
    <reviewItem>
      <errorID>fc242fc5-6157-47ca-ad67-c7bbe7987f33</errorID>
      <errorWord>）</errorWord>
      <group>L1_Format</group>
      <groupName>格式问题</groupName>
      <ability>L2_HalfPunc_CN</ability>
      <abilityName>全半角问题</abilityName>
      <candidateList>
        <item>)</item>
      </candidateList>
      <explain>文本全半角错误。</explain>
      <paraID>1D69FF8A</paraID>
      <start>32</start>
      <end>33</end>
      <status>ignored</status>
      <modifiedWord/>
      <trackRevisions>false</trackRevisions>
    </reviewItem>
    <reviewItem>
      <errorID>f7f09835-01f8-45b4-a678-a7c789a50480</errorID>
      <errorWord>，</errorWord>
      <group>L1_Punc</group>
      <groupName>标点问题</groupName>
      <ability>L2_Punc_CN</ability>
      <abilityName>标点符号问题</abilityName>
      <candidateList>
        <item>。</item>
      </candidateList>
      <explain/>
      <paraID>138D0A6B</paraID>
      <start>40</start>
      <end>41</end>
      <status>modified</status>
      <modifiedWord>。</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65eb4a-f5ae-40b9-8894-924733747635}">
  <ds:schemaRefs/>
</ds:datastoreItem>
</file>

<file path=customXml/itemProps3.xml><?xml version="1.0" encoding="utf-8"?>
<ds:datastoreItem xmlns:ds="http://schemas.openxmlformats.org/officeDocument/2006/customXml" ds:itemID="{FAD816AE-328A-4652-B293-925AAE563634}">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19</Pages>
  <Words>7871</Words>
  <Characters>8976</Characters>
  <Lines>102</Lines>
  <Paragraphs>28</Paragraphs>
  <TotalTime>2</TotalTime>
  <ScaleCrop>false</ScaleCrop>
  <LinksUpToDate>false</LinksUpToDate>
  <CharactersWithSpaces>9329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2025-03-21T02:18:00Z</dcterms:created>
  <dc:creator>Administrator</dc:creator>
  <cp:lastModifiedBy>霍达</cp:lastModifiedBy>
  <cp:lastPrinted>2025-01-13T00:22:00Z</cp:lastPrinted>
  <dcterms:modified xsi:type="dcterms:W3CDTF">2026-08-01T14:33:53Z</dcterms:modified>
  <dc:title>标准名称</dc:title>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8D136F8A0FF647C0A657D5793B60F166_13</vt:lpwstr>
  </property>
  <property fmtid="{D5CDD505-2E9C-101B-9397-08002B2CF9AE}" pid="4" name="KSOTemplateDocerSaveRecord">
    <vt:lpwstr>eyJoZGlkIjoiZGUwNzNlYTY0ZDdlMThkYjIyM2Y2NWRkNGEyOGRmNDMiLCJ1c2VySWQiOiI0MzUxOTUzNDUifQ==</vt:lpwstr>
  </property>
</Properties>
</file>