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A81BC">
      <w:pPr>
        <w:framePr w:wrap="notBeside" w:vAnchor="page" w:hAnchor="page" w:x="1372" w:y="568"/>
        <w:ind w:firstLine="420"/>
      </w:pPr>
      <w:bookmarkStart w:id="0" w:name="_Hlk113959447"/>
      <w:bookmarkEnd w:id="0"/>
      <w:bookmarkStart w:id="957" w:name="_GoBack"/>
      <w:bookmarkEnd w:id="957"/>
      <w:r>
        <mc:AlternateContent>
          <mc:Choice Requires="wps">
            <w:drawing>
              <wp:anchor distT="0" distB="0" distL="114300" distR="114300" simplePos="0" relativeHeight="251662336" behindDoc="0" locked="0" layoutInCell="1" allowOverlap="1">
                <wp:simplePos x="0" y="0"/>
                <wp:positionH relativeFrom="column">
                  <wp:posOffset>4425315</wp:posOffset>
                </wp:positionH>
                <wp:positionV relativeFrom="paragraph">
                  <wp:posOffset>201930</wp:posOffset>
                </wp:positionV>
                <wp:extent cx="1440180" cy="730885"/>
                <wp:effectExtent l="0" t="0" r="0" b="0"/>
                <wp:wrapNone/>
                <wp:docPr id="8" name="WordArt 375"/>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40180" cy="730885"/>
                        </a:xfrm>
                        <a:prstGeom prst="rect">
                          <a:avLst/>
                        </a:prstGeom>
                      </wps:spPr>
                      <wps:txbx>
                        <w:txbxContent>
                          <w:p w14:paraId="4B350D96">
                            <w:pPr>
                              <w:jc w:val="center"/>
                              <w:rPr>
                                <w:rFonts w:ascii="Times New Roman" w:hAnsi="Times New Roman"/>
                                <w:kern w:val="0"/>
                                <w:sz w:val="24"/>
                              </w:rPr>
                            </w:pPr>
                            <w:r>
                              <w:rPr>
                                <w:rFonts w:ascii="Times New Roman" w:hAnsi="Times New Roman"/>
                                <w:b/>
                                <w:bCs/>
                                <w:color w:val="000000"/>
                                <w:sz w:val="72"/>
                                <w:szCs w:val="72"/>
                              </w:rPr>
                              <w:t>JB</w:t>
                            </w:r>
                          </w:p>
                        </w:txbxContent>
                      </wps:txbx>
                      <wps:bodyPr wrap="square" numCol="1" fromWordArt="1">
                        <a:prstTxWarp prst="textPlain">
                          <a:avLst>
                            <a:gd name="adj" fmla="val 50000"/>
                          </a:avLst>
                        </a:prstTxWarp>
                        <a:noAutofit/>
                      </wps:bodyPr>
                    </wps:wsp>
                  </a:graphicData>
                </a:graphic>
              </wp:anchor>
            </w:drawing>
          </mc:Choice>
          <mc:Fallback>
            <w:pict>
              <v:shape id="WordArt 375" o:spid="_x0000_s1026" o:spt="202" type="#_x0000_t202" style="position:absolute;left:0pt;margin-left:348.45pt;margin-top:15.9pt;height:57.55pt;width:113.4pt;z-index:251662336;mso-width-relative:page;mso-height-relative:page;" filled="f" stroked="f" coordsize="21600,21600" o:gfxdata="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VoG2jdkAAAAKAQAADwAAAAAA&#10;AAABACAAAAAiAAAAZHJzL2Rvd25yZXYueG1sUEsBAhQAFAAAAAgAh07iQD1ftbwSAgAAKQQAAA4A&#10;AAAAAAAAAQAgAAAAKAEAAGRycy9lMm9Eb2MueG1sUEsFBgAAAAAGAAYAWQEAAKwFAAAAAA==&#10;" adj="10800">
                <v:fill on="f" focussize="0,0"/>
                <v:stroke on="f"/>
                <v:imagedata o:title=""/>
                <o:lock v:ext="edit" text="t" aspectratio="f"/>
                <v:textbox>
                  <w:txbxContent>
                    <w:p w14:paraId="4B350D96">
                      <w:pPr>
                        <w:jc w:val="center"/>
                        <w:rPr>
                          <w:rFonts w:ascii="Times New Roman" w:hAnsi="Times New Roman"/>
                          <w:kern w:val="0"/>
                          <w:sz w:val="24"/>
                        </w:rPr>
                      </w:pPr>
                      <w:r>
                        <w:rPr>
                          <w:rFonts w:ascii="Times New Roman" w:hAnsi="Times New Roman"/>
                          <w:b/>
                          <w:bCs/>
                          <w:color w:val="000000"/>
                          <w:sz w:val="72"/>
                          <w:szCs w:val="72"/>
                        </w:rPr>
                        <w:t>JB</w:t>
                      </w:r>
                    </w:p>
                  </w:txbxContent>
                </v:textbox>
              </v:shape>
            </w:pict>
          </mc:Fallback>
        </mc:AlternateContent>
      </w:r>
    </w:p>
    <w:tbl>
      <w:tblPr>
        <w:tblStyle w:val="33"/>
        <w:tblW w:w="2245" w:type="dxa"/>
        <w:tblInd w:w="0" w:type="dxa"/>
        <w:tblLayout w:type="autofit"/>
        <w:tblCellMar>
          <w:top w:w="0" w:type="dxa"/>
          <w:left w:w="0" w:type="dxa"/>
          <w:bottom w:w="0" w:type="dxa"/>
          <w:right w:w="0" w:type="dxa"/>
        </w:tblCellMar>
      </w:tblPr>
      <w:tblGrid>
        <w:gridCol w:w="2245"/>
      </w:tblGrid>
      <w:tr w14:paraId="59A422EA">
        <w:tblPrEx>
          <w:tblCellMar>
            <w:top w:w="0" w:type="dxa"/>
            <w:left w:w="0" w:type="dxa"/>
            <w:bottom w:w="0" w:type="dxa"/>
            <w:right w:w="0" w:type="dxa"/>
          </w:tblCellMar>
        </w:tblPrEx>
        <w:trPr>
          <w:trHeight w:val="175" w:hRule="atLeast"/>
        </w:trPr>
        <w:tc>
          <w:tcPr>
            <w:tcW w:w="2245" w:type="dxa"/>
            <w:vAlign w:val="center"/>
          </w:tcPr>
          <w:p w14:paraId="42BFF844">
            <w:pPr>
              <w:pStyle w:val="23"/>
              <w:framePr w:wrap="notBeside" w:vAnchor="page" w:hAnchor="page" w:x="1372" w:y="568"/>
              <w:tabs>
                <w:tab w:val="clear" w:pos="4153"/>
                <w:tab w:val="clear" w:pos="8306"/>
              </w:tabs>
              <w:spacing w:before="120" w:line="240" w:lineRule="auto"/>
              <w:jc w:val="both"/>
              <w:rPr>
                <w:rFonts w:ascii="Times New Roman" w:hAnsi="Times New Roman" w:eastAsia="黑体"/>
                <w:b/>
                <w:sz w:val="21"/>
                <w:szCs w:val="21"/>
              </w:rPr>
            </w:pPr>
            <w:r>
              <w:rPr>
                <w:rFonts w:ascii="Times New Roman" w:hAnsi="Times New Roman" w:eastAsia="黑体"/>
                <w:b/>
                <w:sz w:val="21"/>
                <w:szCs w:val="21"/>
              </w:rPr>
              <w:t xml:space="preserve">ICS </w:t>
            </w:r>
            <w:r>
              <w:rPr>
                <w:rFonts w:ascii="Times New Roman" w:hAnsi="Times New Roman" w:eastAsia="黑体"/>
                <w:sz w:val="21"/>
                <w:szCs w:val="21"/>
              </w:rPr>
              <w:fldChar w:fldCharType="begin">
                <w:ffData>
                  <w:name w:val="ICS"/>
                  <w:enabled/>
                  <w:calcOnExit w:val="0"/>
                  <w:textInput>
                    <w:default w:val="点击此处添加ICS号"/>
                  </w:textInput>
                </w:ffData>
              </w:fldChar>
            </w:r>
            <w:r>
              <w:rPr>
                <w:rFonts w:ascii="Times New Roman" w:hAnsi="Times New Roman" w:eastAsia="黑体"/>
                <w:sz w:val="21"/>
                <w:szCs w:val="21"/>
              </w:rPr>
              <w:instrText xml:space="preserve"> FORMTEXT </w:instrText>
            </w:r>
            <w:r>
              <w:rPr>
                <w:rFonts w:ascii="Times New Roman" w:hAnsi="Times New Roman" w:eastAsia="黑体"/>
                <w:sz w:val="21"/>
                <w:szCs w:val="21"/>
              </w:rPr>
              <w:fldChar w:fldCharType="separate"/>
            </w:r>
            <w:r>
              <w:rPr>
                <w:rFonts w:ascii="Times New Roman" w:hAnsi="Times New Roman" w:eastAsia="黑体"/>
                <w:sz w:val="21"/>
                <w:szCs w:val="21"/>
              </w:rPr>
              <w:t>67.260</w:t>
            </w:r>
            <w:r>
              <w:rPr>
                <w:rFonts w:ascii="Times New Roman" w:hAnsi="Times New Roman" w:eastAsia="黑体"/>
                <w:sz w:val="21"/>
                <w:szCs w:val="21"/>
              </w:rPr>
              <w:fldChar w:fldCharType="end"/>
            </w:r>
          </w:p>
        </w:tc>
      </w:tr>
      <w:tr w14:paraId="09495C78">
        <w:tblPrEx>
          <w:tblCellMar>
            <w:top w:w="0" w:type="dxa"/>
            <w:left w:w="0" w:type="dxa"/>
            <w:bottom w:w="0" w:type="dxa"/>
            <w:right w:w="0" w:type="dxa"/>
          </w:tblCellMar>
        </w:tblPrEx>
        <w:trPr>
          <w:trHeight w:val="175" w:hRule="atLeast"/>
        </w:trPr>
        <w:tc>
          <w:tcPr>
            <w:tcW w:w="2245" w:type="dxa"/>
            <w:vAlign w:val="center"/>
          </w:tcPr>
          <w:p w14:paraId="08DC5F86">
            <w:pPr>
              <w:pStyle w:val="23"/>
              <w:framePr w:wrap="notBeside" w:vAnchor="page" w:hAnchor="page" w:x="1372" w:y="568"/>
              <w:tabs>
                <w:tab w:val="clear" w:pos="4153"/>
                <w:tab w:val="clear" w:pos="8306"/>
              </w:tabs>
              <w:spacing w:before="120" w:line="240" w:lineRule="auto"/>
              <w:jc w:val="both"/>
              <w:rPr>
                <w:rFonts w:hint="eastAsia" w:ascii="黑体" w:hAnsi="黑体" w:eastAsia="黑体"/>
                <w:sz w:val="21"/>
                <w:szCs w:val="21"/>
              </w:rPr>
            </w:pPr>
            <w:r>
              <w:rPr>
                <w:rFonts w:ascii="Times New Roman" w:hAnsi="Times New Roman" w:eastAsia="黑体"/>
                <w:b/>
                <w:sz w:val="21"/>
                <w:szCs w:val="21"/>
              </w:rPr>
              <w:t xml:space="preserve">CCS </w:t>
            </w:r>
            <w:r>
              <w:rPr>
                <w:rFonts w:ascii="Times New Roman" w:hAnsi="Times New Roman" w:eastAsia="黑体"/>
                <w:sz w:val="21"/>
                <w:szCs w:val="21"/>
              </w:rPr>
              <w:fldChar w:fldCharType="begin">
                <w:ffData>
                  <w:name w:val="CSDN"/>
                  <w:enabled/>
                  <w:calcOnExit w:val="0"/>
                  <w:textInput>
                    <w:default w:val="点击此处添加CCS号"/>
                  </w:textInput>
                </w:ffData>
              </w:fldChar>
            </w:r>
            <w:r>
              <w:rPr>
                <w:rFonts w:ascii="Times New Roman" w:hAnsi="Times New Roman" w:eastAsia="黑体"/>
                <w:sz w:val="21"/>
                <w:szCs w:val="21"/>
              </w:rPr>
              <w:instrText xml:space="preserve"> FORMTEXT </w:instrText>
            </w:r>
            <w:r>
              <w:rPr>
                <w:rFonts w:ascii="Times New Roman" w:hAnsi="Times New Roman" w:eastAsia="黑体"/>
                <w:sz w:val="21"/>
                <w:szCs w:val="21"/>
              </w:rPr>
              <w:fldChar w:fldCharType="separate"/>
            </w:r>
            <w:r>
              <w:rPr>
                <w:rFonts w:ascii="Times New Roman" w:hAnsi="Times New Roman" w:eastAsia="黑体"/>
                <w:sz w:val="21"/>
                <w:szCs w:val="21"/>
              </w:rPr>
              <w:t>X 99</w:t>
            </w:r>
            <w:r>
              <w:rPr>
                <w:rFonts w:ascii="Times New Roman" w:hAnsi="Times New Roman" w:eastAsia="黑体"/>
                <w:sz w:val="21"/>
                <w:szCs w:val="21"/>
              </w:rPr>
              <w:fldChar w:fldCharType="end"/>
            </w:r>
          </w:p>
        </w:tc>
      </w:tr>
    </w:tbl>
    <w:p w14:paraId="5E6D1154">
      <w:pPr>
        <w:pStyle w:val="59"/>
        <w:framePr w:w="9639" w:h="624" w:hRule="exact" w:hSpace="181" w:vSpace="181" w:wrap="around" w:hAnchor="page" w:x="1305" w:y="2269"/>
        <w:rPr>
          <w:rFonts w:hint="eastAsia" w:ascii="黑体" w:hAnsi="黑体" w:eastAsia="黑体"/>
          <w:b w:val="0"/>
          <w:bCs w:val="0"/>
          <w:w w:val="100"/>
          <w:sz w:val="48"/>
          <w:szCs w:val="48"/>
        </w:rPr>
      </w:pPr>
      <w:bookmarkStart w:id="1" w:name="_Hlk26473981"/>
      <w:r>
        <w:rPr>
          <w:rFonts w:hint="eastAsia" w:ascii="黑体" w:hAnsi="黑体" w:eastAsia="黑体"/>
          <w:b w:val="0"/>
          <w:bCs w:val="0"/>
          <w:w w:val="100"/>
          <w:sz w:val="48"/>
          <w:szCs w:val="48"/>
        </w:rPr>
        <w:t>中华人民共和国机械行业标准</w:t>
      </w:r>
    </w:p>
    <w:bookmarkEnd w:id="1"/>
    <w:p w14:paraId="193EA407">
      <w:pPr>
        <w:pStyle w:val="204"/>
        <w:spacing w:line="240" w:lineRule="auto"/>
      </w:pPr>
      <w:r>
        <w:fldChar w:fldCharType="begin">
          <w:ffData>
            <w:name w:val="文字1"/>
            <w:enabled/>
            <w:calcOnExit w:val="0"/>
            <w:textInput>
              <w:default w:val="XX/T"/>
            </w:textInput>
          </w:ffData>
        </w:fldChar>
      </w:r>
      <w:bookmarkStart w:id="2" w:name="文字1"/>
      <w:r>
        <w:instrText xml:space="preserve"> FORMTEXT </w:instrText>
      </w:r>
      <w:r>
        <w:fldChar w:fldCharType="separate"/>
      </w:r>
      <w:r>
        <w:t>JB/T</w:t>
      </w:r>
      <w:r>
        <w:fldChar w:fldCharType="end"/>
      </w:r>
      <w:bookmarkEnd w:id="2"/>
      <w:r>
        <w:fldChar w:fldCharType="begin">
          <w:ffData>
            <w:name w:val="NSTD_CODE_F"/>
            <w:enabled/>
            <w:calcOnExit w:val="0"/>
            <w:textInput>
              <w:default w:val=" XXXXX"/>
            </w:textInput>
          </w:ffData>
        </w:fldChar>
      </w:r>
      <w:bookmarkStart w:id="3" w:name="NSTD_CODE_F"/>
      <w:r>
        <w:instrText xml:space="preserve"> FORMTEXT </w:instrText>
      </w:r>
      <w:r>
        <w:fldChar w:fldCharType="separate"/>
      </w:r>
      <w:r>
        <w:t xml:space="preserve"> XXXXX</w:t>
      </w:r>
      <w:r>
        <w:fldChar w:fldCharType="end"/>
      </w:r>
      <w:bookmarkEnd w:id="3"/>
      <w:r>
        <w:rPr>
          <w:rFonts w:hint="eastAsia" w:hAnsi="黑体"/>
        </w:rPr>
        <w:t>—</w:t>
      </w:r>
      <w:r>
        <w:fldChar w:fldCharType="begin">
          <w:ffData>
            <w:name w:val="NSTD_CODE_B"/>
            <w:enabled/>
            <w:calcOnExit w:val="0"/>
            <w:textInput>
              <w:default w:val="XXXX"/>
            </w:textInput>
          </w:ffData>
        </w:fldChar>
      </w:r>
      <w:bookmarkStart w:id="4" w:name="NSTD_CODE_B"/>
      <w:r>
        <w:instrText xml:space="preserve"> FORMTEXT </w:instrText>
      </w:r>
      <w:r>
        <w:fldChar w:fldCharType="separate"/>
      </w:r>
      <w:r>
        <w:t>XXXX</w:t>
      </w:r>
      <w:r>
        <w:fldChar w:fldCharType="end"/>
      </w:r>
      <w:bookmarkEnd w:id="4"/>
    </w:p>
    <w:p w14:paraId="13275239">
      <w:pPr>
        <w:spacing w:line="240" w:lineRule="auto"/>
        <w:ind w:firstLine="420"/>
        <w:rPr>
          <w:rFonts w:hint="eastAsia" w:ascii="黑体" w:hAnsi="黑体" w:eastAsia="黑体"/>
          <w:kern w:val="0"/>
          <w:sz w:val="10"/>
          <w:szCs w:val="10"/>
        </w:rPr>
      </w:pPr>
      <w:r>
        <w:t xml:space="preserve"> </w:t>
      </w:r>
      <w: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2699385</wp:posOffset>
                </wp:positionV>
                <wp:extent cx="6120130" cy="0"/>
                <wp:effectExtent l="0" t="0" r="13970" b="19050"/>
                <wp:wrapNone/>
                <wp:docPr id="7"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73" o:spid="_x0000_s1026" o:spt="20" style="position:absolute;left:0pt;margin-left:70.9pt;margin-top:212.55pt;height:0pt;width:481.9pt;mso-position-horizontal-relative:page;mso-position-vertical-relative:page;z-index:251660288;mso-width-relative:page;mso-height-relative:page;" filled="f" stroked="t" coordsize="21600,21600" o:allowoverlap="f" o:gfxdata="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3idItcAAAAM&#10;AQAADwAAAAAAAAABACAAAAAiAAAAZHJzL2Rvd25yZXYueG1sUEsBAhQAFAAAAAgAh07iQEPu+r3k&#10;AQAAqwMAAA4AAAAAAAAAAQAgAAAAJgEAAGRycy9lMm9Eb2MueG1sUEsFBgAAAAAGAAYAWQEAAHwF&#10;AAAAAA==&#10;">
                <v:fill on="f" focussize="0,0"/>
                <v:stroke color="#000000" joinstyle="round"/>
                <v:imagedata o:title=""/>
                <o:lock v:ext="edit" aspectratio="f"/>
              </v:line>
            </w:pict>
          </mc:Fallback>
        </mc:AlternateContent>
      </w:r>
    </w:p>
    <w:p w14:paraId="668A1897">
      <w:pPr>
        <w:pStyle w:val="59"/>
        <w:framePr w:w="9639" w:h="6976" w:hRule="exact" w:hSpace="0" w:vSpace="0" w:wrap="around" w:hAnchor="page" w:y="6408"/>
        <w:jc w:val="center"/>
        <w:rPr>
          <w:rFonts w:hint="eastAsia" w:ascii="黑体" w:hAnsi="黑体" w:eastAsia="黑体"/>
          <w:b w:val="0"/>
          <w:bCs w:val="0"/>
          <w:w w:val="100"/>
        </w:rPr>
      </w:pPr>
    </w:p>
    <w:p w14:paraId="5ADE486C">
      <w:pPr>
        <w:pStyle w:val="206"/>
        <w:framePr w:h="6974" w:hRule="exact" w:wrap="around" w:x="1419" w:anchorLock="1"/>
        <w:rPr>
          <w:rFonts w:hint="eastAsia"/>
        </w:rPr>
      </w:pPr>
      <w:r>
        <w:rPr>
          <w:rFonts w:hint="eastAsia"/>
        </w:rPr>
        <w:t xml:space="preserve">食品机械 </w:t>
      </w:r>
      <w:r>
        <w:t xml:space="preserve"> </w:t>
      </w:r>
      <w:r>
        <w:rPr>
          <w:rFonts w:hint="eastAsia"/>
        </w:rPr>
        <w:t>谷类清洗浸泡成套设备</w:t>
      </w:r>
    </w:p>
    <w:p w14:paraId="1C8D42D5">
      <w:pPr>
        <w:framePr w:w="9639" w:h="6974" w:hRule="exact" w:wrap="around" w:vAnchor="page" w:hAnchor="page" w:x="1419" w:y="6408" w:anchorLock="1"/>
        <w:ind w:left="-1418" w:firstLine="420"/>
      </w:pPr>
    </w:p>
    <w:p w14:paraId="7249B8EC">
      <w:pPr>
        <w:framePr w:w="9639" w:h="6974" w:hRule="exact" w:wrap="around" w:vAnchor="page" w:hAnchor="page" w:x="1419" w:y="6408" w:anchorLock="1"/>
        <w:spacing w:line="760" w:lineRule="exact"/>
        <w:jc w:val="center"/>
        <w:rPr>
          <w:rFonts w:ascii="Times New Roman" w:hAnsi="Times New Roman" w:eastAsia="黑体"/>
          <w:b/>
          <w:bCs/>
          <w:kern w:val="0"/>
          <w:sz w:val="28"/>
          <w:szCs w:val="28"/>
        </w:rPr>
      </w:pPr>
      <w:r>
        <w:rPr>
          <w:rFonts w:ascii="Times New Roman" w:hAnsi="Times New Roman" w:eastAsia="黑体"/>
          <w:b/>
          <w:bCs/>
          <w:kern w:val="0"/>
          <w:sz w:val="28"/>
          <w:szCs w:val="28"/>
        </w:rPr>
        <w:t>Food machinery—</w:t>
      </w:r>
      <w:r>
        <w:rPr>
          <w:rFonts w:hint="eastAsia" w:ascii="Times New Roman" w:hAnsi="Times New Roman" w:eastAsia="黑体"/>
          <w:b/>
          <w:bCs/>
          <w:kern w:val="0"/>
          <w:sz w:val="28"/>
          <w:szCs w:val="28"/>
        </w:rPr>
        <w:t>C</w:t>
      </w:r>
      <w:r>
        <w:rPr>
          <w:rFonts w:ascii="Times New Roman" w:hAnsi="Times New Roman" w:eastAsia="黑体"/>
          <w:b/>
          <w:bCs/>
          <w:kern w:val="0"/>
          <w:sz w:val="28"/>
          <w:szCs w:val="28"/>
        </w:rPr>
        <w:t>omplete set</w:t>
      </w:r>
      <w:r>
        <w:rPr>
          <w:rFonts w:hint="eastAsia" w:ascii="Times New Roman" w:hAnsi="Times New Roman" w:eastAsia="黑体"/>
          <w:b/>
          <w:bCs/>
          <w:kern w:val="0"/>
          <w:sz w:val="28"/>
          <w:szCs w:val="28"/>
        </w:rPr>
        <w:t>s</w:t>
      </w:r>
      <w:r>
        <w:rPr>
          <w:rFonts w:ascii="Times New Roman" w:hAnsi="Times New Roman" w:eastAsia="黑体"/>
          <w:b/>
          <w:bCs/>
          <w:kern w:val="0"/>
          <w:sz w:val="28"/>
          <w:szCs w:val="28"/>
        </w:rPr>
        <w:t xml:space="preserve"> of </w:t>
      </w:r>
      <w:r>
        <w:rPr>
          <w:rFonts w:hint="eastAsia" w:ascii="Times New Roman" w:hAnsi="Times New Roman" w:eastAsia="黑体"/>
          <w:b/>
          <w:bCs/>
          <w:kern w:val="0"/>
          <w:sz w:val="28"/>
          <w:szCs w:val="28"/>
        </w:rPr>
        <w:t>equipment for cleaning and soaking cereals</w:t>
      </w:r>
    </w:p>
    <w:p w14:paraId="114823E2">
      <w:pPr>
        <w:pStyle w:val="134"/>
        <w:framePr w:w="9639" w:h="6974" w:hRule="exact" w:wrap="around" w:vAnchor="page" w:hAnchor="page" w:x="1419" w:y="6408" w:anchorLock="1"/>
        <w:spacing w:before="440" w:after="160"/>
        <w:textAlignment w:val="bottom"/>
        <w:rPr>
          <w:rFonts w:hint="eastAsia" w:ascii="宋体" w:hAnsi="宋体"/>
          <w:szCs w:val="28"/>
        </w:rPr>
      </w:pPr>
      <w:r>
        <w:rPr>
          <w:rFonts w:hint="eastAsia" w:ascii="宋体" w:hAnsi="宋体"/>
          <w:szCs w:val="28"/>
        </w:rPr>
        <w:t>（征求意见稿）</w:t>
      </w:r>
    </w:p>
    <w:p w14:paraId="1795492E">
      <w:pPr>
        <w:pStyle w:val="134"/>
        <w:framePr w:w="9639" w:h="6974" w:hRule="exact" w:wrap="around" w:vAnchor="page" w:hAnchor="page" w:x="1419" w:y="6408" w:anchorLock="1"/>
        <w:spacing w:before="440" w:after="160"/>
        <w:textAlignment w:val="bottom"/>
        <w:rPr>
          <w:rFonts w:hint="eastAsia" w:ascii="宋体" w:hAnsi="宋体"/>
          <w:szCs w:val="28"/>
        </w:rPr>
      </w:pPr>
      <w:r>
        <w:rPr>
          <w:rFonts w:hint="eastAsia" w:ascii="宋体" w:hAnsi="宋体"/>
          <w:szCs w:val="28"/>
        </w:rPr>
        <w:t>在提交反馈意见时，请将您知道的相关专利连同支持性文件一并附上。</w:t>
      </w:r>
      <w:r>
        <w:rPr>
          <w:rFonts w:ascii="宋体" w:hAnsi="宋体"/>
          <w:szCs w:val="28"/>
        </w:rPr>
        <w:cr/>
      </w:r>
    </w:p>
    <w:p w14:paraId="55252667">
      <w:pPr>
        <w:pStyle w:val="18"/>
        <w:framePr w:w="9639" w:h="6974" w:hRule="exact" w:wrap="around" w:vAnchor="page" w:hAnchor="page" w:x="1419" w:y="6408" w:anchorLock="1"/>
        <w:spacing w:before="240" w:beforeLines="100"/>
        <w:jc w:val="center"/>
        <w:rPr>
          <w:rFonts w:ascii="Times New Roman" w:hAnsi="Times New Roman"/>
          <w:sz w:val="28"/>
          <w:szCs w:val="28"/>
        </w:rPr>
      </w:pPr>
    </w:p>
    <w:p w14:paraId="0D3F1C35">
      <w:pPr>
        <w:pStyle w:val="134"/>
        <w:framePr w:w="9639" w:h="6974" w:hRule="exact" w:wrap="around" w:vAnchor="page" w:hAnchor="page" w:x="1419" w:y="6408" w:anchorLock="1"/>
        <w:spacing w:before="720" w:beforeLines="300" w:after="72" w:afterLines="30" w:line="240" w:lineRule="auto"/>
        <w:textAlignment w:val="bottom"/>
        <w:rPr>
          <w:rFonts w:hint="eastAsia" w:hAnsi="宋体"/>
          <w:szCs w:val="28"/>
        </w:rPr>
      </w:pPr>
    </w:p>
    <w:p w14:paraId="4929C81D">
      <w:pPr>
        <w:pStyle w:val="134"/>
        <w:framePr w:w="9639" w:h="6974" w:hRule="exact" w:wrap="around" w:vAnchor="page" w:hAnchor="page" w:x="1419" w:y="6408" w:anchorLock="1"/>
        <w:spacing w:before="720" w:beforeLines="300" w:after="72" w:afterLines="30" w:line="240" w:lineRule="auto"/>
        <w:textAlignment w:val="bottom"/>
        <w:rPr>
          <w:rFonts w:hint="eastAsia" w:ascii="宋体" w:hAnsi="宋体"/>
          <w:szCs w:val="28"/>
        </w:rPr>
      </w:pPr>
    </w:p>
    <w:p w14:paraId="62EED67A">
      <w:pPr>
        <w:pStyle w:val="134"/>
        <w:framePr w:w="9639" w:h="6974" w:hRule="exact" w:wrap="around" w:vAnchor="page" w:hAnchor="page" w:x="1419" w:y="6408" w:anchorLock="1"/>
        <w:spacing w:before="720" w:beforeLines="300" w:after="72" w:afterLines="30" w:line="240" w:lineRule="auto"/>
        <w:textAlignment w:val="bottom"/>
        <w:rPr>
          <w:rFonts w:hint="eastAsia" w:ascii="宋体" w:hAnsi="宋体"/>
          <w:szCs w:val="28"/>
        </w:rPr>
      </w:pPr>
    </w:p>
    <w:p w14:paraId="7FA6ED45">
      <w:pPr>
        <w:pStyle w:val="202"/>
        <w:framePr w:wrap="around" w:y="14176"/>
      </w:pPr>
      <w:r>
        <w:rPr>
          <w:rFonts w:ascii="黑体"/>
        </w:rPr>
        <w:fldChar w:fldCharType="begin">
          <w:ffData>
            <w:name w:val="PLSH_DATE_Y"/>
            <w:enabled/>
            <w:calcOnExit w:val="0"/>
            <w:textInput>
              <w:default w:val="XXXX"/>
              <w:maxLength w:val="4"/>
            </w:textInput>
          </w:ffData>
        </w:fldChar>
      </w:r>
      <w:bookmarkStart w:id="5"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5"/>
      <w:r>
        <w:rPr>
          <w:rFonts w:ascii="黑体"/>
        </w:rPr>
        <w:t>-</w:t>
      </w:r>
      <w:r>
        <w:rPr>
          <w:rFonts w:ascii="黑体"/>
        </w:rPr>
        <w:fldChar w:fldCharType="begin">
          <w:ffData>
            <w:name w:val="PLSH_DATE_M"/>
            <w:enabled/>
            <w:calcOnExit w:val="0"/>
            <w:textInput>
              <w:default w:val="XX"/>
              <w:maxLength w:val="2"/>
            </w:textInput>
          </w:ffData>
        </w:fldChar>
      </w:r>
      <w:bookmarkStart w:id="6"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6"/>
      <w:r>
        <w:rPr>
          <w:rFonts w:ascii="黑体"/>
        </w:rPr>
        <w:t>-</w:t>
      </w:r>
      <w:r>
        <w:rPr>
          <w:rFonts w:ascii="黑体"/>
        </w:rPr>
        <w:fldChar w:fldCharType="begin">
          <w:ffData>
            <w:name w:val="PLSH_DATE_D"/>
            <w:enabled/>
            <w:calcOnExit w:val="0"/>
            <w:textInput>
              <w:default w:val="XX"/>
              <w:maxLength w:val="2"/>
            </w:textInput>
          </w:ffData>
        </w:fldChar>
      </w:r>
      <w:bookmarkStart w:id="7"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7"/>
      <w:r>
        <w:rPr>
          <w:rFonts w:hint="eastAsia"/>
        </w:rPr>
        <w:t>发布</w:t>
      </w:r>
    </w:p>
    <w:p w14:paraId="41E95FEF">
      <w:pPr>
        <w:pStyle w:val="203"/>
        <w:framePr w:wrap="around" w:y="14176"/>
        <w:rPr>
          <w:lang w:val="fr-FR"/>
        </w:rPr>
      </w:pPr>
      <w:r>
        <w:rPr>
          <w:rFonts w:ascii="黑体"/>
        </w:rPr>
        <w:fldChar w:fldCharType="begin">
          <w:ffData>
            <w:name w:val="CROT_DATE_Y"/>
            <w:enabled/>
            <w:calcOnExit w:val="0"/>
            <w:textInput>
              <w:default w:val="XXXX"/>
              <w:maxLength w:val="4"/>
            </w:textInput>
          </w:ffData>
        </w:fldChar>
      </w:r>
      <w:bookmarkStart w:id="8" w:name="CROT_DATE_Y"/>
      <w:r>
        <w:rPr>
          <w:rFonts w:ascii="黑体"/>
          <w:lang w:val="fr-FR"/>
        </w:rPr>
        <w:instrText xml:space="preserve"> FORMTEXT </w:instrText>
      </w:r>
      <w:r>
        <w:rPr>
          <w:rFonts w:ascii="黑体"/>
        </w:rPr>
        <w:fldChar w:fldCharType="separate"/>
      </w:r>
      <w:r>
        <w:rPr>
          <w:rFonts w:ascii="黑体"/>
          <w:lang w:val="fr-FR"/>
        </w:rPr>
        <w:t>XXXX</w:t>
      </w:r>
      <w:r>
        <w:rPr>
          <w:rFonts w:ascii="黑体"/>
        </w:rPr>
        <w:fldChar w:fldCharType="end"/>
      </w:r>
      <w:bookmarkEnd w:id="8"/>
      <w:r>
        <w:rPr>
          <w:rFonts w:ascii="黑体"/>
          <w:lang w:val="fr-FR"/>
        </w:rPr>
        <w:t>-</w:t>
      </w:r>
      <w:r>
        <w:rPr>
          <w:rFonts w:ascii="黑体"/>
        </w:rPr>
        <w:fldChar w:fldCharType="begin">
          <w:ffData>
            <w:name w:val="CROT_DATE_M"/>
            <w:enabled/>
            <w:calcOnExit w:val="0"/>
            <w:textInput>
              <w:default w:val="XX"/>
              <w:maxLength w:val="2"/>
            </w:textInput>
          </w:ffData>
        </w:fldChar>
      </w:r>
      <w:bookmarkStart w:id="9" w:name="CROT_DATE_M"/>
      <w:r>
        <w:rPr>
          <w:rFonts w:ascii="黑体"/>
          <w:lang w:val="fr-FR"/>
        </w:rPr>
        <w:instrText xml:space="preserve"> FORMTEXT </w:instrText>
      </w:r>
      <w:r>
        <w:rPr>
          <w:rFonts w:ascii="黑体"/>
        </w:rPr>
        <w:fldChar w:fldCharType="separate"/>
      </w:r>
      <w:r>
        <w:rPr>
          <w:rFonts w:ascii="黑体"/>
          <w:lang w:val="fr-FR"/>
        </w:rPr>
        <w:t>XX</w:t>
      </w:r>
      <w:r>
        <w:rPr>
          <w:rFonts w:ascii="黑体"/>
        </w:rPr>
        <w:fldChar w:fldCharType="end"/>
      </w:r>
      <w:bookmarkEnd w:id="9"/>
      <w:r>
        <w:rPr>
          <w:rFonts w:ascii="黑体"/>
          <w:lang w:val="fr-FR"/>
        </w:rPr>
        <w:t>-</w:t>
      </w:r>
      <w:r>
        <w:rPr>
          <w:rFonts w:ascii="黑体"/>
        </w:rPr>
        <w:fldChar w:fldCharType="begin">
          <w:ffData>
            <w:name w:val="CROT_DATE_D"/>
            <w:enabled/>
            <w:calcOnExit w:val="0"/>
            <w:textInput>
              <w:default w:val="XX"/>
              <w:maxLength w:val="2"/>
            </w:textInput>
          </w:ffData>
        </w:fldChar>
      </w:r>
      <w:bookmarkStart w:id="10" w:name="CROT_DATE_D"/>
      <w:r>
        <w:rPr>
          <w:rFonts w:ascii="黑体"/>
          <w:lang w:val="fr-FR"/>
        </w:rPr>
        <w:instrText xml:space="preserve"> FORMTEXT </w:instrText>
      </w:r>
      <w:r>
        <w:rPr>
          <w:rFonts w:ascii="黑体"/>
        </w:rPr>
        <w:fldChar w:fldCharType="separate"/>
      </w:r>
      <w:r>
        <w:rPr>
          <w:rFonts w:ascii="黑体"/>
          <w:lang w:val="fr-FR"/>
        </w:rPr>
        <w:t>XX</w:t>
      </w:r>
      <w:r>
        <w:rPr>
          <w:rFonts w:ascii="黑体"/>
        </w:rPr>
        <w:fldChar w:fldCharType="end"/>
      </w:r>
      <w:bookmarkEnd w:id="10"/>
      <w:r>
        <w:rPr>
          <w:rFonts w:hint="eastAsia"/>
        </w:rPr>
        <w:t>实施</w:t>
      </w:r>
    </w:p>
    <w:p w14:paraId="31123502">
      <w:pPr>
        <w:pStyle w:val="160"/>
        <w:framePr w:h="584" w:hRule="exact" w:hSpace="181" w:vSpace="181" w:wrap="around" w:y="14800"/>
        <w:rPr>
          <w:rFonts w:hint="eastAsia" w:hAnsi="黑体"/>
          <w:lang w:val="fr-FR"/>
        </w:rPr>
      </w:pPr>
      <w:r>
        <w:rPr>
          <w:rFonts w:hAnsi="黑体"/>
          <w:w w:val="100"/>
          <w:sz w:val="28"/>
        </w:rPr>
        <w:fldChar w:fldCharType="begin">
          <w:ffData>
            <w:name w:val="fm"/>
            <w:enabled/>
            <w:calcOnExit w:val="0"/>
            <w:textInput/>
          </w:ffData>
        </w:fldChar>
      </w:r>
      <w:bookmarkStart w:id="11" w:name="fm"/>
      <w:r>
        <w:rPr>
          <w:rFonts w:hAnsi="黑体"/>
          <w:w w:val="100"/>
          <w:sz w:val="28"/>
          <w:lang w:val="fr-FR"/>
        </w:rPr>
        <w:instrText xml:space="preserve"> FORMTEXT </w:instrText>
      </w:r>
      <w:r>
        <w:rPr>
          <w:rFonts w:hAnsi="黑体"/>
          <w:w w:val="100"/>
          <w:sz w:val="28"/>
        </w:rPr>
        <w:fldChar w:fldCharType="separate"/>
      </w:r>
      <w:r>
        <w:rPr>
          <w:rFonts w:hint="eastAsia" w:hAnsi="黑体"/>
          <w:w w:val="100"/>
          <w:sz w:val="28"/>
        </w:rPr>
        <w:t>中华人民共和国工业和信息化部</w:t>
      </w:r>
      <w:r>
        <w:rPr>
          <w:rFonts w:hAnsi="黑体"/>
          <w:w w:val="100"/>
          <w:sz w:val="28"/>
        </w:rPr>
        <w:fldChar w:fldCharType="end"/>
      </w:r>
      <w:bookmarkEnd w:id="11"/>
      <w:r>
        <w:rPr>
          <w:rFonts w:ascii="Times New Roman"/>
          <w:w w:val="100"/>
          <w:sz w:val="28"/>
          <w:szCs w:val="28"/>
          <w:lang w:val="fr-FR"/>
        </w:rPr>
        <w:t>  </w:t>
      </w:r>
      <w:r>
        <w:rPr>
          <w:rStyle w:val="238"/>
          <w:rFonts w:hint="eastAsia" w:hAnsi="黑体"/>
          <w:position w:val="0"/>
        </w:rPr>
        <w:t>发</w:t>
      </w:r>
      <w:r>
        <w:rPr>
          <w:rStyle w:val="238"/>
          <w:rFonts w:hint="eastAsia" w:hAnsi="黑体"/>
          <w:spacing w:val="0"/>
          <w:position w:val="0"/>
        </w:rPr>
        <w:t>布</w:t>
      </w:r>
    </w:p>
    <w:p w14:paraId="228857C2">
      <w:pPr>
        <w:ind w:firstLine="420"/>
        <w:rPr>
          <w:rFonts w:hint="eastAsia" w:ascii="宋体" w:hAnsi="宋体"/>
          <w:sz w:val="28"/>
          <w:szCs w:val="28"/>
          <w:lang w:val="fr-FR"/>
        </w:rPr>
        <w:sectPr>
          <w:headerReference r:id="rId6" w:type="first"/>
          <w:footerReference r:id="rId8" w:type="first"/>
          <w:headerReference r:id="rId5" w:type="default"/>
          <w:footerReference r:id="rId7" w:type="even"/>
          <w:type w:val="continuous"/>
          <w:pgSz w:w="11906" w:h="16838"/>
          <w:pgMar w:top="567" w:right="1134" w:bottom="851" w:left="1134" w:header="1418" w:footer="1134" w:gutter="284"/>
          <w:cols w:space="425" w:num="1"/>
          <w:titlePg/>
          <w:docGrid w:linePitch="312" w:charSpace="0"/>
        </w:sectPr>
      </w:pPr>
      <w: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9251950</wp:posOffset>
                </wp:positionV>
                <wp:extent cx="6120130" cy="0"/>
                <wp:effectExtent l="0" t="0" r="13970" b="19050"/>
                <wp:wrapNone/>
                <wp:docPr id="6"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5" o:spid="_x0000_s1026" o:spt="20" style="position:absolute;left:0pt;margin-left:70.85pt;margin-top:728.5pt;height:0pt;width:481.9pt;mso-position-horizontal-relative:page;mso-position-vertical-relative:page;z-index:251661312;mso-width-relative:page;mso-height-relative:page;" filled="f" stroked="t" coordsize="21600,21600" o:gfxdata="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IIroS1wAAAA4B&#10;AAAPAAAAAAAAAAEAIAAAACIAAABkcnMvZG93bnJldi54bWxQSwECFAAUAAAACACHTuJAqHxL7OMB&#10;AACqAwAADgAAAAAAAAABACAAAAAmAQAAZHJzL2Uyb0RvYy54bWxQSwUGAAAAAAYABgBZAQAAewUA&#10;AAAA&#10;">
                <v:fill on="f" focussize="0,0"/>
                <v:stroke color="#000000" joinstyle="round"/>
                <v:imagedata o:title=""/>
                <o:lock v:ext="edit" aspectratio="f"/>
                <w10:anchorlock/>
              </v:line>
            </w:pict>
          </mc:Fallback>
        </mc:AlternateContent>
      </w:r>
    </w:p>
    <w:p w14:paraId="639B72A2">
      <w:pPr>
        <w:spacing w:before="480" w:beforeLines="200" w:after="240" w:afterLines="100" w:line="480" w:lineRule="exact"/>
        <w:ind w:firstLine="640"/>
        <w:jc w:val="center"/>
        <w:rPr>
          <w:rFonts w:ascii="黑体" w:hAnsi="Times New Roman" w:eastAsia="黑体"/>
          <w:bCs/>
          <w:sz w:val="32"/>
          <w:szCs w:val="32"/>
        </w:rPr>
      </w:pPr>
      <w:bookmarkStart w:id="12" w:name="BookMark1"/>
      <w:bookmarkStart w:id="13" w:name="_Toc85527721"/>
      <w:bookmarkStart w:id="14" w:name="_Toc76902172"/>
      <w:bookmarkStart w:id="15" w:name="_Toc77186016"/>
      <w:bookmarkStart w:id="16" w:name="_Toc76532480"/>
      <w:bookmarkStart w:id="17" w:name="_Toc76532359"/>
      <w:bookmarkStart w:id="18" w:name="_Toc77186034"/>
      <w:bookmarkStart w:id="19" w:name="_Toc85527742"/>
      <w:r>
        <w:rPr>
          <w:rFonts w:hint="eastAsia" w:ascii="黑体" w:hAnsi="Times New Roman" w:eastAsia="黑体"/>
          <w:bCs/>
          <w:sz w:val="32"/>
          <w:szCs w:val="32"/>
        </w:rPr>
        <w:t>目   次</w:t>
      </w:r>
    </w:p>
    <w:p w14:paraId="2AD18AF4">
      <w:pPr>
        <w:pStyle w:val="24"/>
        <w:tabs>
          <w:tab w:val="right" w:leader="dot" w:pos="9070"/>
        </w:tabs>
        <w:spacing w:line="400" w:lineRule="exact"/>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TOC \o "1-2" \h \z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_Toc19017 </w:instrText>
      </w:r>
      <w:r>
        <w:rPr>
          <w:rFonts w:hint="default" w:ascii="Times New Roman" w:hAnsi="Times New Roman" w:cs="Times New Roman"/>
        </w:rPr>
        <w:fldChar w:fldCharType="separate"/>
      </w:r>
      <w:r>
        <w:rPr>
          <w:rFonts w:hint="default" w:ascii="Times New Roman" w:hAnsi="Times New Roman" w:cs="Times New Roman"/>
          <w:bCs/>
          <w:szCs w:val="32"/>
        </w:rPr>
        <w:t>前言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_Toc19017 \h </w:instrText>
      </w:r>
      <w:r>
        <w:rPr>
          <w:rFonts w:hint="default" w:ascii="Times New Roman" w:hAnsi="Times New Roman" w:cs="Times New Roman"/>
        </w:rPr>
        <w:fldChar w:fldCharType="separate"/>
      </w:r>
      <w:r>
        <w:rPr>
          <w:rFonts w:hint="default" w:ascii="Times New Roman" w:hAnsi="Times New Roman" w:cs="Times New Roman"/>
        </w:rPr>
        <w:t>IV</w:t>
      </w:r>
      <w:r>
        <w:rPr>
          <w:rFonts w:hint="default" w:ascii="Times New Roman" w:hAnsi="Times New Roman" w:cs="Times New Roman"/>
        </w:rPr>
        <w:fldChar w:fldCharType="end"/>
      </w:r>
      <w:r>
        <w:rPr>
          <w:rFonts w:hint="default" w:ascii="Times New Roman" w:hAnsi="Times New Roman" w:cs="Times New Roman"/>
        </w:rPr>
        <w:fldChar w:fldCharType="end"/>
      </w:r>
    </w:p>
    <w:p w14:paraId="5D03D34C">
      <w:pPr>
        <w:pStyle w:val="24"/>
        <w:tabs>
          <w:tab w:val="right" w:leader="dot" w:pos="9070"/>
        </w:tabs>
        <w:spacing w:line="400" w:lineRule="exact"/>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_Toc23001 </w:instrText>
      </w:r>
      <w:r>
        <w:rPr>
          <w:rFonts w:hint="default" w:ascii="Times New Roman" w:hAnsi="Times New Roman" w:cs="Times New Roman"/>
        </w:rPr>
        <w:fldChar w:fldCharType="separate"/>
      </w:r>
      <w:r>
        <w:rPr>
          <w:rFonts w:hint="default" w:ascii="Times New Roman" w:hAnsi="Times New Roman" w:cs="Times New Roman"/>
          <w:bCs/>
          <w:szCs w:val="32"/>
        </w:rPr>
        <w:t>引言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_Toc23001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14:paraId="285D58DD">
      <w:pPr>
        <w:pStyle w:val="24"/>
        <w:tabs>
          <w:tab w:val="right" w:leader="dot" w:pos="9070"/>
        </w:tabs>
        <w:spacing w:line="400" w:lineRule="exact"/>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_Toc8178 </w:instrText>
      </w:r>
      <w:r>
        <w:rPr>
          <w:rFonts w:hint="default" w:ascii="Times New Roman" w:hAnsi="Times New Roman" w:cs="Times New Roman"/>
        </w:rPr>
        <w:fldChar w:fldCharType="separate"/>
      </w:r>
      <w:r>
        <w:rPr>
          <w:rFonts w:hint="default" w:ascii="Times New Roman" w:hAnsi="Times New Roman" w:eastAsia="宋体" w:cs="Times New Roman"/>
          <w:i w:val="0"/>
        </w:rPr>
        <w:t xml:space="preserve">1 </w:t>
      </w:r>
      <w:r>
        <w:rPr>
          <w:rFonts w:hint="default" w:ascii="Times New Roman" w:hAnsi="Times New Roman" w:cs="Times New Roman"/>
        </w:rPr>
        <w:t>范围</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_Toc8178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14:paraId="03E51C75">
      <w:pPr>
        <w:pStyle w:val="24"/>
        <w:tabs>
          <w:tab w:val="right" w:leader="dot" w:pos="9070"/>
        </w:tabs>
        <w:spacing w:line="400" w:lineRule="exact"/>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_Toc24917 </w:instrText>
      </w:r>
      <w:r>
        <w:rPr>
          <w:rFonts w:hint="default" w:ascii="Times New Roman" w:hAnsi="Times New Roman" w:cs="Times New Roman"/>
        </w:rPr>
        <w:fldChar w:fldCharType="separate"/>
      </w:r>
      <w:r>
        <w:rPr>
          <w:rFonts w:hint="default" w:ascii="Times New Roman" w:hAnsi="Times New Roman" w:eastAsia="宋体" w:cs="Times New Roman"/>
          <w:i w:val="0"/>
        </w:rPr>
        <w:t xml:space="preserve">2 </w:t>
      </w:r>
      <w:r>
        <w:rPr>
          <w:rFonts w:hint="default" w:ascii="Times New Roman" w:hAnsi="Times New Roman" w:cs="Times New Roman"/>
        </w:rPr>
        <w:t>规范性引用文件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_Toc24917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14:paraId="50F8F33C">
      <w:pPr>
        <w:pStyle w:val="24"/>
        <w:tabs>
          <w:tab w:val="right" w:leader="dot" w:pos="9070"/>
        </w:tabs>
        <w:spacing w:line="400" w:lineRule="exact"/>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_Toc5682 </w:instrText>
      </w:r>
      <w:r>
        <w:rPr>
          <w:rFonts w:hint="default" w:ascii="Times New Roman" w:hAnsi="Times New Roman" w:cs="Times New Roman"/>
        </w:rPr>
        <w:fldChar w:fldCharType="separate"/>
      </w:r>
      <w:r>
        <w:rPr>
          <w:rFonts w:hint="default" w:ascii="Times New Roman" w:hAnsi="Times New Roman" w:eastAsia="宋体" w:cs="Times New Roman"/>
          <w:i w:val="0"/>
        </w:rPr>
        <w:t xml:space="preserve">3 </w:t>
      </w:r>
      <w:r>
        <w:rPr>
          <w:rFonts w:hint="default" w:ascii="Times New Roman" w:hAnsi="Times New Roman" w:cs="Times New Roman"/>
        </w:rPr>
        <w:t>术语和定义</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_Toc5682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14:paraId="275F7FB9">
      <w:pPr>
        <w:pStyle w:val="24"/>
        <w:tabs>
          <w:tab w:val="right" w:leader="dot" w:pos="9070"/>
        </w:tabs>
        <w:spacing w:line="400" w:lineRule="exact"/>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_Toc20065 </w:instrText>
      </w:r>
      <w:r>
        <w:rPr>
          <w:rFonts w:hint="default" w:ascii="Times New Roman" w:hAnsi="Times New Roman" w:cs="Times New Roman"/>
        </w:rPr>
        <w:fldChar w:fldCharType="separate"/>
      </w:r>
      <w:r>
        <w:rPr>
          <w:rFonts w:hint="default" w:ascii="Times New Roman" w:hAnsi="Times New Roman" w:eastAsia="宋体" w:cs="Times New Roman"/>
          <w:i w:val="0"/>
        </w:rPr>
        <w:t xml:space="preserve">4 </w:t>
      </w:r>
      <w:r>
        <w:rPr>
          <w:rFonts w:hint="default" w:ascii="Times New Roman" w:hAnsi="Times New Roman" w:cs="Times New Roman"/>
        </w:rPr>
        <w:t>型式与组成</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_Toc20065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rPr>
        <w:fldChar w:fldCharType="end"/>
      </w:r>
    </w:p>
    <w:p w14:paraId="3561B5F3">
      <w:pPr>
        <w:pStyle w:val="29"/>
        <w:tabs>
          <w:tab w:val="right" w:leader="dot" w:pos="9070"/>
          <w:tab w:val="clear" w:pos="9344"/>
        </w:tabs>
        <w:spacing w:line="300" w:lineRule="exact"/>
        <w:ind w:left="210"/>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_Toc16921 </w:instrText>
      </w:r>
      <w:r>
        <w:rPr>
          <w:rFonts w:hint="default" w:ascii="Times New Roman" w:hAnsi="Times New Roman"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vertAlign w:val="baseline"/>
        </w:rPr>
        <w:t xml:space="preserve">4.1 </w:t>
      </w:r>
      <w:r>
        <w:rPr>
          <w:rFonts w:hint="default" w:ascii="Times New Roman" w:hAnsi="Times New Roman" w:cs="Times New Roman"/>
        </w:rPr>
        <w:t>型式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_Toc16921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rPr>
        <w:fldChar w:fldCharType="end"/>
      </w:r>
    </w:p>
    <w:p w14:paraId="2D1FE99F">
      <w:pPr>
        <w:pStyle w:val="29"/>
        <w:tabs>
          <w:tab w:val="right" w:leader="dot" w:pos="9070"/>
          <w:tab w:val="clear" w:pos="9344"/>
        </w:tabs>
        <w:spacing w:line="300" w:lineRule="exact"/>
        <w:ind w:left="210"/>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_Toc32601 </w:instrText>
      </w:r>
      <w:r>
        <w:rPr>
          <w:rFonts w:hint="default" w:ascii="Times New Roman" w:hAnsi="Times New Roman"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4.2 </w:t>
      </w:r>
      <w:r>
        <w:rPr>
          <w:rFonts w:hint="default" w:ascii="Times New Roman" w:hAnsi="Times New Roman" w:cs="Times New Roman"/>
          <w:szCs w:val="21"/>
        </w:rPr>
        <w:t>型号</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_Toc32601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rPr>
        <w:fldChar w:fldCharType="end"/>
      </w:r>
    </w:p>
    <w:p w14:paraId="66C590F2">
      <w:pPr>
        <w:pStyle w:val="29"/>
        <w:tabs>
          <w:tab w:val="right" w:leader="dot" w:pos="9070"/>
          <w:tab w:val="clear" w:pos="9344"/>
        </w:tabs>
        <w:spacing w:line="300" w:lineRule="exact"/>
        <w:ind w:left="210"/>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_Toc28497 </w:instrText>
      </w:r>
      <w:r>
        <w:rPr>
          <w:rFonts w:hint="default" w:ascii="Times New Roman" w:hAnsi="Times New Roman"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4.3 </w:t>
      </w:r>
      <w:r>
        <w:rPr>
          <w:rFonts w:hint="default" w:ascii="Times New Roman" w:hAnsi="Times New Roman" w:cs="Times New Roman"/>
          <w:szCs w:val="21"/>
        </w:rPr>
        <w:t>组成</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_Toc28497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14:paraId="29C20A5B">
      <w:pPr>
        <w:pStyle w:val="24"/>
        <w:tabs>
          <w:tab w:val="right" w:leader="dot" w:pos="9070"/>
        </w:tabs>
        <w:spacing w:line="400" w:lineRule="exact"/>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_Toc5486 </w:instrText>
      </w:r>
      <w:r>
        <w:rPr>
          <w:rFonts w:hint="default" w:ascii="Times New Roman" w:hAnsi="Times New Roman" w:cs="Times New Roman"/>
        </w:rPr>
        <w:fldChar w:fldCharType="separate"/>
      </w:r>
      <w:r>
        <w:rPr>
          <w:rFonts w:hint="default" w:ascii="Times New Roman" w:hAnsi="Times New Roman" w:eastAsia="宋体" w:cs="Times New Roman"/>
          <w:i w:val="0"/>
        </w:rPr>
        <w:t xml:space="preserve">5 </w:t>
      </w:r>
      <w:r>
        <w:rPr>
          <w:rFonts w:hint="default" w:ascii="Times New Roman" w:hAnsi="Times New Roman" w:cs="Times New Roman"/>
        </w:rPr>
        <w:t>技术要求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_Toc5486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14:paraId="0385ECCF">
      <w:pPr>
        <w:pStyle w:val="29"/>
        <w:tabs>
          <w:tab w:val="right" w:leader="dot" w:pos="9070"/>
          <w:tab w:val="clear" w:pos="9344"/>
        </w:tabs>
        <w:spacing w:line="300" w:lineRule="exact"/>
        <w:ind w:left="210"/>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_Toc14718 </w:instrText>
      </w:r>
      <w:r>
        <w:rPr>
          <w:rFonts w:hint="default" w:ascii="Times New Roman" w:hAnsi="Times New Roman"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5.1 </w:t>
      </w:r>
      <w:r>
        <w:rPr>
          <w:rFonts w:hint="default" w:ascii="Times New Roman" w:hAnsi="Times New Roman" w:cs="Times New Roman"/>
          <w:szCs w:val="21"/>
        </w:rPr>
        <w:t>材料要求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_Toc14718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14:paraId="2CC81251">
      <w:pPr>
        <w:pStyle w:val="29"/>
        <w:tabs>
          <w:tab w:val="right" w:leader="dot" w:pos="9070"/>
          <w:tab w:val="clear" w:pos="9344"/>
        </w:tabs>
        <w:spacing w:line="300" w:lineRule="exact"/>
        <w:ind w:left="210"/>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_Toc24780 </w:instrText>
      </w:r>
      <w:r>
        <w:rPr>
          <w:rFonts w:hint="default" w:ascii="Times New Roman" w:hAnsi="Times New Roman"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5.2 </w:t>
      </w:r>
      <w:r>
        <w:rPr>
          <w:rFonts w:hint="default" w:ascii="Times New Roman" w:hAnsi="Times New Roman" w:cs="Times New Roman"/>
          <w:szCs w:val="21"/>
        </w:rPr>
        <w:t>加工要求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_Toc24780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14:paraId="6A1F300F">
      <w:pPr>
        <w:pStyle w:val="29"/>
        <w:tabs>
          <w:tab w:val="right" w:leader="dot" w:pos="9070"/>
          <w:tab w:val="clear" w:pos="9344"/>
        </w:tabs>
        <w:spacing w:line="300" w:lineRule="exact"/>
        <w:ind w:left="210"/>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_Toc27734 </w:instrText>
      </w:r>
      <w:r>
        <w:rPr>
          <w:rFonts w:hint="default" w:ascii="Times New Roman" w:hAnsi="Times New Roman"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5.3 </w:t>
      </w:r>
      <w:r>
        <w:rPr>
          <w:rFonts w:hint="default" w:ascii="Times New Roman" w:hAnsi="Times New Roman" w:cs="Times New Roman"/>
          <w:szCs w:val="21"/>
        </w:rPr>
        <w:t>主要单机和系统要求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_Toc27734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14:paraId="0D45752A">
      <w:pPr>
        <w:pStyle w:val="29"/>
        <w:tabs>
          <w:tab w:val="right" w:leader="dot" w:pos="9070"/>
          <w:tab w:val="clear" w:pos="9344"/>
        </w:tabs>
        <w:spacing w:line="300" w:lineRule="exact"/>
        <w:ind w:left="210"/>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_Toc20872 </w:instrText>
      </w:r>
      <w:r>
        <w:rPr>
          <w:rFonts w:hint="default" w:ascii="Times New Roman" w:hAnsi="Times New Roman"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5.4 </w:t>
      </w:r>
      <w:r>
        <w:rPr>
          <w:rFonts w:hint="default" w:ascii="Times New Roman" w:hAnsi="Times New Roman" w:cs="Times New Roman"/>
          <w:szCs w:val="21"/>
        </w:rPr>
        <w:t>装配要求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_Toc20872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14:paraId="46B66420">
      <w:pPr>
        <w:pStyle w:val="29"/>
        <w:tabs>
          <w:tab w:val="right" w:leader="dot" w:pos="9070"/>
          <w:tab w:val="clear" w:pos="9344"/>
        </w:tabs>
        <w:spacing w:line="300" w:lineRule="exact"/>
        <w:ind w:left="210"/>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_Toc9714 </w:instrText>
      </w:r>
      <w:r>
        <w:rPr>
          <w:rFonts w:hint="default" w:ascii="Times New Roman" w:hAnsi="Times New Roman"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5.5 </w:t>
      </w:r>
      <w:r>
        <w:rPr>
          <w:rFonts w:hint="default" w:ascii="Times New Roman" w:hAnsi="Times New Roman" w:cs="Times New Roman"/>
          <w:szCs w:val="21"/>
        </w:rPr>
        <w:t>安装要求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_Toc9714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rPr>
        <w:fldChar w:fldCharType="end"/>
      </w:r>
    </w:p>
    <w:p w14:paraId="0DDD62B8">
      <w:pPr>
        <w:pStyle w:val="29"/>
        <w:tabs>
          <w:tab w:val="right" w:leader="dot" w:pos="9070"/>
          <w:tab w:val="clear" w:pos="9344"/>
        </w:tabs>
        <w:spacing w:line="300" w:lineRule="exact"/>
        <w:ind w:left="210"/>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_Toc2660 </w:instrText>
      </w:r>
      <w:r>
        <w:rPr>
          <w:rFonts w:hint="default" w:ascii="Times New Roman" w:hAnsi="Times New Roman"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5.6 </w:t>
      </w:r>
      <w:r>
        <w:rPr>
          <w:rFonts w:hint="default" w:ascii="Times New Roman" w:hAnsi="Times New Roman" w:cs="Times New Roman"/>
          <w:szCs w:val="21"/>
        </w:rPr>
        <w:t>卫生安全要求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_Toc2660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rPr>
        <w:fldChar w:fldCharType="end"/>
      </w:r>
    </w:p>
    <w:p w14:paraId="504E910B">
      <w:pPr>
        <w:pStyle w:val="29"/>
        <w:tabs>
          <w:tab w:val="right" w:leader="dot" w:pos="9070"/>
          <w:tab w:val="clear" w:pos="9344"/>
        </w:tabs>
        <w:spacing w:line="300" w:lineRule="exact"/>
        <w:ind w:left="210"/>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_Toc12012 </w:instrText>
      </w:r>
      <w:r>
        <w:rPr>
          <w:rFonts w:hint="default" w:ascii="Times New Roman" w:hAnsi="Times New Roman"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5.7 </w:t>
      </w:r>
      <w:r>
        <w:rPr>
          <w:rFonts w:hint="default" w:ascii="Times New Roman" w:hAnsi="Times New Roman" w:cs="Times New Roman"/>
          <w:szCs w:val="21"/>
        </w:rPr>
        <w:t>机械安全要求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_Toc12012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rPr>
        <w:fldChar w:fldCharType="end"/>
      </w:r>
    </w:p>
    <w:p w14:paraId="0E18FF02">
      <w:pPr>
        <w:pStyle w:val="29"/>
        <w:tabs>
          <w:tab w:val="right" w:leader="dot" w:pos="9070"/>
          <w:tab w:val="clear" w:pos="9344"/>
        </w:tabs>
        <w:spacing w:line="300" w:lineRule="exact"/>
        <w:ind w:left="210"/>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_Toc9966 </w:instrText>
      </w:r>
      <w:r>
        <w:rPr>
          <w:rFonts w:hint="default" w:ascii="Times New Roman" w:hAnsi="Times New Roman"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5.8 </w:t>
      </w:r>
      <w:r>
        <w:rPr>
          <w:rFonts w:hint="default" w:ascii="Times New Roman" w:hAnsi="Times New Roman" w:cs="Times New Roman"/>
          <w:szCs w:val="21"/>
        </w:rPr>
        <w:t>电气安全要求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_Toc9966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rPr>
        <w:fldChar w:fldCharType="end"/>
      </w:r>
    </w:p>
    <w:p w14:paraId="65B1AF80">
      <w:pPr>
        <w:pStyle w:val="29"/>
        <w:tabs>
          <w:tab w:val="right" w:leader="dot" w:pos="9070"/>
          <w:tab w:val="clear" w:pos="9344"/>
        </w:tabs>
        <w:spacing w:line="300" w:lineRule="exact"/>
        <w:ind w:left="210"/>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_Toc15500 </w:instrText>
      </w:r>
      <w:r>
        <w:rPr>
          <w:rFonts w:hint="default" w:ascii="Times New Roman" w:hAnsi="Times New Roman"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5.9 </w:t>
      </w:r>
      <w:r>
        <w:rPr>
          <w:rFonts w:hint="default" w:ascii="Times New Roman" w:hAnsi="Times New Roman" w:cs="Times New Roman"/>
          <w:szCs w:val="21"/>
        </w:rPr>
        <w:t>成（配）套性</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_Toc15500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rPr>
        <w:fldChar w:fldCharType="end"/>
      </w:r>
    </w:p>
    <w:p w14:paraId="1BB5F852">
      <w:pPr>
        <w:pStyle w:val="29"/>
        <w:tabs>
          <w:tab w:val="right" w:leader="dot" w:pos="9070"/>
          <w:tab w:val="clear" w:pos="9344"/>
        </w:tabs>
        <w:spacing w:line="300" w:lineRule="exact"/>
        <w:ind w:left="210"/>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_Toc14194 </w:instrText>
      </w:r>
      <w:r>
        <w:rPr>
          <w:rFonts w:hint="default" w:ascii="Times New Roman" w:hAnsi="Times New Roman"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5.10 </w:t>
      </w:r>
      <w:r>
        <w:rPr>
          <w:rFonts w:hint="default" w:ascii="Times New Roman" w:hAnsi="Times New Roman" w:cs="Times New Roman"/>
          <w:szCs w:val="21"/>
        </w:rPr>
        <w:t>性能要求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_Toc14194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fldChar w:fldCharType="end"/>
      </w:r>
    </w:p>
    <w:p w14:paraId="31E5F639">
      <w:pPr>
        <w:pStyle w:val="24"/>
        <w:tabs>
          <w:tab w:val="right" w:leader="dot" w:pos="9070"/>
        </w:tabs>
        <w:spacing w:line="400" w:lineRule="exact"/>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_Toc13682 </w:instrText>
      </w:r>
      <w:r>
        <w:rPr>
          <w:rFonts w:hint="default" w:ascii="Times New Roman" w:hAnsi="Times New Roman" w:cs="Times New Roman"/>
        </w:rPr>
        <w:fldChar w:fldCharType="separate"/>
      </w:r>
      <w:r>
        <w:rPr>
          <w:rFonts w:hint="default" w:ascii="Times New Roman" w:hAnsi="Times New Roman" w:eastAsia="宋体" w:cs="Times New Roman"/>
          <w:i w:val="0"/>
        </w:rPr>
        <w:t xml:space="preserve">6 </w:t>
      </w:r>
      <w:r>
        <w:rPr>
          <w:rFonts w:hint="default" w:ascii="Times New Roman" w:hAnsi="Times New Roman" w:cs="Times New Roman"/>
        </w:rPr>
        <w:t>试验方法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_Toc13682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fldChar w:fldCharType="end"/>
      </w:r>
    </w:p>
    <w:p w14:paraId="544DA4BA">
      <w:pPr>
        <w:pStyle w:val="29"/>
        <w:tabs>
          <w:tab w:val="right" w:leader="dot" w:pos="9070"/>
          <w:tab w:val="clear" w:pos="9344"/>
        </w:tabs>
        <w:spacing w:line="300" w:lineRule="exact"/>
        <w:ind w:left="210"/>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_Toc18830 </w:instrText>
      </w:r>
      <w:r>
        <w:rPr>
          <w:rFonts w:hint="default" w:ascii="Times New Roman" w:hAnsi="Times New Roman"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6.1 </w:t>
      </w:r>
      <w:r>
        <w:rPr>
          <w:rFonts w:hint="default" w:ascii="Times New Roman" w:hAnsi="Times New Roman" w:cs="Times New Roman"/>
          <w:szCs w:val="21"/>
        </w:rPr>
        <w:t>试验条件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_Toc18830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fldChar w:fldCharType="end"/>
      </w:r>
    </w:p>
    <w:p w14:paraId="60B559CA">
      <w:pPr>
        <w:pStyle w:val="29"/>
        <w:tabs>
          <w:tab w:val="right" w:leader="dot" w:pos="9070"/>
          <w:tab w:val="clear" w:pos="9344"/>
        </w:tabs>
        <w:spacing w:line="300" w:lineRule="exact"/>
        <w:ind w:left="210"/>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_Toc5200 </w:instrText>
      </w:r>
      <w:r>
        <w:rPr>
          <w:rFonts w:hint="default" w:ascii="Times New Roman" w:hAnsi="Times New Roman"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6.2 </w:t>
      </w:r>
      <w:r>
        <w:rPr>
          <w:rFonts w:hint="default" w:ascii="Times New Roman" w:hAnsi="Times New Roman" w:cs="Times New Roman"/>
          <w:szCs w:val="21"/>
        </w:rPr>
        <w:t>材料要求检查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_Toc5200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fldChar w:fldCharType="end"/>
      </w:r>
    </w:p>
    <w:p w14:paraId="245F87C4">
      <w:pPr>
        <w:pStyle w:val="29"/>
        <w:tabs>
          <w:tab w:val="right" w:leader="dot" w:pos="9070"/>
          <w:tab w:val="clear" w:pos="9344"/>
        </w:tabs>
        <w:spacing w:line="300" w:lineRule="exact"/>
        <w:ind w:left="210"/>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_Toc19062 </w:instrText>
      </w:r>
      <w:r>
        <w:rPr>
          <w:rFonts w:hint="default" w:ascii="Times New Roman" w:hAnsi="Times New Roman"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vertAlign w:val="baseline"/>
        </w:rPr>
        <w:t xml:space="preserve">6.3 </w:t>
      </w:r>
      <w:r>
        <w:rPr>
          <w:rFonts w:hint="default" w:ascii="Times New Roman" w:hAnsi="Times New Roman" w:cs="Times New Roman"/>
          <w:szCs w:val="21"/>
        </w:rPr>
        <w:t>加工要求检查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_Toc19062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fldChar w:fldCharType="end"/>
      </w:r>
    </w:p>
    <w:p w14:paraId="4A1A3FA7">
      <w:pPr>
        <w:pStyle w:val="29"/>
        <w:tabs>
          <w:tab w:val="right" w:leader="dot" w:pos="9070"/>
          <w:tab w:val="clear" w:pos="9344"/>
        </w:tabs>
        <w:spacing w:line="300" w:lineRule="exact"/>
        <w:ind w:left="210"/>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_Toc8627 </w:instrText>
      </w:r>
      <w:r>
        <w:rPr>
          <w:rFonts w:hint="default" w:ascii="Times New Roman" w:hAnsi="Times New Roman"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6.4 </w:t>
      </w:r>
      <w:r>
        <w:rPr>
          <w:rFonts w:hint="default" w:ascii="Times New Roman" w:hAnsi="Times New Roman" w:cs="Times New Roman"/>
          <w:szCs w:val="21"/>
        </w:rPr>
        <w:t>主要单机和系统要求检查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_Toc8627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fldChar w:fldCharType="end"/>
      </w:r>
    </w:p>
    <w:p w14:paraId="18D6D93B">
      <w:pPr>
        <w:pStyle w:val="29"/>
        <w:tabs>
          <w:tab w:val="right" w:leader="dot" w:pos="9070"/>
          <w:tab w:val="clear" w:pos="9344"/>
        </w:tabs>
        <w:spacing w:line="300" w:lineRule="exact"/>
        <w:ind w:left="210"/>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_Toc14364 </w:instrText>
      </w:r>
      <w:r>
        <w:rPr>
          <w:rFonts w:hint="default" w:ascii="Times New Roman" w:hAnsi="Times New Roman"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6.5 </w:t>
      </w:r>
      <w:r>
        <w:rPr>
          <w:rFonts w:hint="default" w:ascii="Times New Roman" w:hAnsi="Times New Roman" w:cs="Times New Roman"/>
          <w:szCs w:val="21"/>
        </w:rPr>
        <w:t>装配要求检查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_Toc14364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fldChar w:fldCharType="end"/>
      </w:r>
    </w:p>
    <w:p w14:paraId="2D090A50">
      <w:pPr>
        <w:pStyle w:val="29"/>
        <w:tabs>
          <w:tab w:val="right" w:leader="dot" w:pos="9070"/>
          <w:tab w:val="clear" w:pos="9344"/>
        </w:tabs>
        <w:spacing w:line="300" w:lineRule="exact"/>
        <w:ind w:left="210"/>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_Toc17653 </w:instrText>
      </w:r>
      <w:r>
        <w:rPr>
          <w:rFonts w:hint="default" w:ascii="Times New Roman" w:hAnsi="Times New Roman"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6.6 </w:t>
      </w:r>
      <w:r>
        <w:rPr>
          <w:rFonts w:hint="default" w:ascii="Times New Roman" w:hAnsi="Times New Roman" w:cs="Times New Roman"/>
          <w:szCs w:val="21"/>
        </w:rPr>
        <w:t>安装要求检查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_Toc17653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14:paraId="65AB90A2">
      <w:pPr>
        <w:pStyle w:val="29"/>
        <w:tabs>
          <w:tab w:val="right" w:leader="dot" w:pos="9070"/>
          <w:tab w:val="clear" w:pos="9344"/>
        </w:tabs>
        <w:spacing w:line="300" w:lineRule="exact"/>
        <w:ind w:left="210"/>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_Toc219 </w:instrText>
      </w:r>
      <w:r>
        <w:rPr>
          <w:rFonts w:hint="default" w:ascii="Times New Roman" w:hAnsi="Times New Roman"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6.7 </w:t>
      </w:r>
      <w:r>
        <w:rPr>
          <w:rFonts w:hint="default" w:ascii="Times New Roman" w:hAnsi="Times New Roman" w:cs="Times New Roman"/>
          <w:szCs w:val="21"/>
        </w:rPr>
        <w:t>卫生安全要求检查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_Toc219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14:paraId="0AF26937">
      <w:pPr>
        <w:pStyle w:val="29"/>
        <w:tabs>
          <w:tab w:val="right" w:leader="dot" w:pos="9070"/>
          <w:tab w:val="clear" w:pos="9344"/>
        </w:tabs>
        <w:spacing w:line="300" w:lineRule="exact"/>
        <w:ind w:left="210"/>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_Toc28101 </w:instrText>
      </w:r>
      <w:r>
        <w:rPr>
          <w:rFonts w:hint="default" w:ascii="Times New Roman" w:hAnsi="Times New Roman"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6.8 </w:t>
      </w:r>
      <w:r>
        <w:rPr>
          <w:rFonts w:hint="default" w:ascii="Times New Roman" w:hAnsi="Times New Roman" w:cs="Times New Roman"/>
          <w:szCs w:val="21"/>
        </w:rPr>
        <w:t>机械安全要求检查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_Toc28101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14:paraId="153EDF4C">
      <w:pPr>
        <w:pStyle w:val="29"/>
        <w:tabs>
          <w:tab w:val="right" w:leader="dot" w:pos="9070"/>
          <w:tab w:val="clear" w:pos="9344"/>
        </w:tabs>
        <w:spacing w:line="300" w:lineRule="exact"/>
        <w:ind w:left="210"/>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_Toc11618 </w:instrText>
      </w:r>
      <w:r>
        <w:rPr>
          <w:rFonts w:hint="default" w:ascii="Times New Roman" w:hAnsi="Times New Roman"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6.9 </w:t>
      </w:r>
      <w:r>
        <w:rPr>
          <w:rFonts w:hint="default" w:ascii="Times New Roman" w:hAnsi="Times New Roman" w:cs="Times New Roman"/>
          <w:szCs w:val="21"/>
        </w:rPr>
        <w:t>电气安全要求检查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_Toc11618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14:paraId="7A4A7023">
      <w:pPr>
        <w:pStyle w:val="29"/>
        <w:tabs>
          <w:tab w:val="right" w:leader="dot" w:pos="9070"/>
          <w:tab w:val="clear" w:pos="9344"/>
        </w:tabs>
        <w:spacing w:line="300" w:lineRule="exact"/>
        <w:ind w:left="210"/>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_Toc25324 </w:instrText>
      </w:r>
      <w:r>
        <w:rPr>
          <w:rFonts w:hint="default" w:ascii="Times New Roman" w:hAnsi="Times New Roman"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6.10 </w:t>
      </w:r>
      <w:r>
        <w:rPr>
          <w:rFonts w:hint="default" w:ascii="Times New Roman" w:hAnsi="Times New Roman" w:cs="Times New Roman"/>
          <w:szCs w:val="21"/>
        </w:rPr>
        <w:t>成（配）套性检查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_Toc25324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14:paraId="58CB703B">
      <w:pPr>
        <w:pStyle w:val="29"/>
        <w:tabs>
          <w:tab w:val="right" w:leader="dot" w:pos="9070"/>
          <w:tab w:val="clear" w:pos="9344"/>
        </w:tabs>
        <w:spacing w:line="300" w:lineRule="exact"/>
        <w:ind w:left="210"/>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_Toc3810 </w:instrText>
      </w:r>
      <w:r>
        <w:rPr>
          <w:rFonts w:hint="default" w:ascii="Times New Roman" w:hAnsi="Times New Roman"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Cs w:val="21"/>
          <w:vertAlign w:val="baseline"/>
        </w:rPr>
        <w:t xml:space="preserve">6.11 </w:t>
      </w:r>
      <w:r>
        <w:rPr>
          <w:rFonts w:hint="default" w:ascii="Times New Roman" w:hAnsi="Times New Roman" w:cs="Times New Roman"/>
          <w:szCs w:val="21"/>
        </w:rPr>
        <w:t>性能试验</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_Toc3810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14:paraId="46CBD40A">
      <w:pPr>
        <w:pStyle w:val="24"/>
        <w:tabs>
          <w:tab w:val="right" w:leader="dot" w:pos="9070"/>
        </w:tabs>
        <w:spacing w:line="400" w:lineRule="exact"/>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_Toc26674 </w:instrText>
      </w:r>
      <w:r>
        <w:rPr>
          <w:rFonts w:hint="default" w:ascii="Times New Roman" w:hAnsi="Times New Roman" w:cs="Times New Roman"/>
        </w:rPr>
        <w:fldChar w:fldCharType="separate"/>
      </w:r>
      <w:r>
        <w:rPr>
          <w:rFonts w:hint="default" w:ascii="Times New Roman" w:hAnsi="Times New Roman" w:eastAsia="宋体" w:cs="Times New Roman"/>
          <w:i w:val="0"/>
          <w:kern w:val="0"/>
        </w:rPr>
        <w:t xml:space="preserve">7 </w:t>
      </w:r>
      <w:r>
        <w:rPr>
          <w:rFonts w:hint="default" w:ascii="Times New Roman" w:hAnsi="Times New Roman" w:cs="Times New Roman"/>
          <w:kern w:val="0"/>
        </w:rPr>
        <w:t>检验规则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_Toc26674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rPr>
        <w:fldChar w:fldCharType="end"/>
      </w:r>
    </w:p>
    <w:p w14:paraId="7E7A7FF7">
      <w:pPr>
        <w:pStyle w:val="29"/>
        <w:tabs>
          <w:tab w:val="right" w:leader="dot" w:pos="9070"/>
          <w:tab w:val="clear" w:pos="9344"/>
        </w:tabs>
        <w:spacing w:line="300" w:lineRule="exact"/>
        <w:ind w:left="210"/>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_Toc15319 </w:instrText>
      </w:r>
      <w:r>
        <w:rPr>
          <w:rFonts w:hint="default" w:ascii="Times New Roman" w:hAnsi="Times New Roman"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vertAlign w:val="baseline"/>
        </w:rPr>
        <w:t xml:space="preserve">7.1 </w:t>
      </w:r>
      <w:r>
        <w:rPr>
          <w:rFonts w:hint="default" w:ascii="Times New Roman" w:hAnsi="Times New Roman" w:cs="Times New Roman"/>
          <w:kern w:val="0"/>
        </w:rPr>
        <w:t>检验</w:t>
      </w:r>
      <w:r>
        <w:rPr>
          <w:rFonts w:hint="default" w:ascii="Times New Roman" w:hAnsi="Times New Roman" w:cs="Times New Roman"/>
        </w:rPr>
        <w:t>类型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_Toc15319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rPr>
        <w:fldChar w:fldCharType="end"/>
      </w:r>
    </w:p>
    <w:p w14:paraId="06C2317D">
      <w:pPr>
        <w:pStyle w:val="29"/>
        <w:tabs>
          <w:tab w:val="right" w:leader="dot" w:pos="9070"/>
          <w:tab w:val="clear" w:pos="9344"/>
        </w:tabs>
        <w:spacing w:line="300" w:lineRule="exact"/>
        <w:ind w:left="210"/>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_Toc31901 </w:instrText>
      </w:r>
      <w:r>
        <w:rPr>
          <w:rFonts w:hint="default" w:ascii="Times New Roman" w:hAnsi="Times New Roman"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vertAlign w:val="baseline"/>
        </w:rPr>
        <w:t xml:space="preserve">7.2 </w:t>
      </w:r>
      <w:r>
        <w:rPr>
          <w:rFonts w:hint="default" w:ascii="Times New Roman" w:hAnsi="Times New Roman" w:cs="Times New Roman"/>
        </w:rPr>
        <w:t>出厂检验</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_Toc31901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rPr>
        <w:fldChar w:fldCharType="end"/>
      </w:r>
    </w:p>
    <w:p w14:paraId="6E877326">
      <w:pPr>
        <w:pStyle w:val="29"/>
        <w:tabs>
          <w:tab w:val="right" w:leader="dot" w:pos="9070"/>
          <w:tab w:val="clear" w:pos="9344"/>
        </w:tabs>
        <w:spacing w:line="300" w:lineRule="exact"/>
        <w:ind w:left="210"/>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_Toc14301 </w:instrText>
      </w:r>
      <w:r>
        <w:rPr>
          <w:rFonts w:hint="default" w:ascii="Times New Roman" w:hAnsi="Times New Roman"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vertAlign w:val="baseline"/>
        </w:rPr>
        <w:t xml:space="preserve">7.3 </w:t>
      </w:r>
      <w:r>
        <w:rPr>
          <w:rFonts w:hint="default" w:ascii="Times New Roman" w:hAnsi="Times New Roman" w:cs="Times New Roman"/>
        </w:rPr>
        <w:t>安装和调试检验</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_Toc14301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rPr>
        <w:fldChar w:fldCharType="end"/>
      </w:r>
    </w:p>
    <w:p w14:paraId="76F2F258">
      <w:pPr>
        <w:pStyle w:val="29"/>
        <w:tabs>
          <w:tab w:val="right" w:leader="dot" w:pos="9070"/>
          <w:tab w:val="clear" w:pos="9344"/>
        </w:tabs>
        <w:spacing w:line="300" w:lineRule="exact"/>
        <w:ind w:left="210"/>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_Toc15190 </w:instrText>
      </w:r>
      <w:r>
        <w:rPr>
          <w:rFonts w:hint="default" w:ascii="Times New Roman" w:hAnsi="Times New Roman"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vertAlign w:val="baseline"/>
        </w:rPr>
        <w:t xml:space="preserve">7.4 </w:t>
      </w:r>
      <w:r>
        <w:rPr>
          <w:rFonts w:hint="default" w:ascii="Times New Roman" w:hAnsi="Times New Roman" w:cs="Times New Roman"/>
        </w:rPr>
        <w:t>型式检验</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_Toc15190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rPr>
        <w:fldChar w:fldCharType="end"/>
      </w:r>
    </w:p>
    <w:p w14:paraId="6CBFD524">
      <w:pPr>
        <w:pStyle w:val="24"/>
        <w:tabs>
          <w:tab w:val="right" w:leader="dot" w:pos="9070"/>
        </w:tabs>
        <w:spacing w:line="400" w:lineRule="exact"/>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_Toc18290 </w:instrText>
      </w:r>
      <w:r>
        <w:rPr>
          <w:rFonts w:hint="default" w:ascii="Times New Roman" w:hAnsi="Times New Roman" w:cs="Times New Roman"/>
        </w:rPr>
        <w:fldChar w:fldCharType="separate"/>
      </w:r>
      <w:r>
        <w:rPr>
          <w:rFonts w:hint="default" w:ascii="Times New Roman" w:hAnsi="Times New Roman" w:eastAsia="宋体" w:cs="Times New Roman"/>
          <w:i w:val="0"/>
          <w:kern w:val="0"/>
        </w:rPr>
        <w:t xml:space="preserve">8 </w:t>
      </w:r>
      <w:r>
        <w:rPr>
          <w:rFonts w:hint="default" w:ascii="Times New Roman" w:hAnsi="Times New Roman" w:cs="Times New Roman"/>
          <w:kern w:val="0"/>
        </w:rPr>
        <w:t>标志、包装、运输和贮存</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_Toc18290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rPr>
        <w:fldChar w:fldCharType="end"/>
      </w:r>
    </w:p>
    <w:p w14:paraId="179743F0">
      <w:pPr>
        <w:pStyle w:val="29"/>
        <w:tabs>
          <w:tab w:val="right" w:leader="dot" w:pos="9070"/>
          <w:tab w:val="clear" w:pos="9344"/>
        </w:tabs>
        <w:spacing w:line="300" w:lineRule="exact"/>
        <w:ind w:left="210"/>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_Toc31988 </w:instrText>
      </w:r>
      <w:r>
        <w:rPr>
          <w:rFonts w:hint="default" w:ascii="Times New Roman" w:hAnsi="Times New Roman"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vertAlign w:val="baseline"/>
        </w:rPr>
        <w:t xml:space="preserve">8.1 </w:t>
      </w:r>
      <w:r>
        <w:rPr>
          <w:rFonts w:hint="default" w:ascii="Times New Roman" w:hAnsi="Times New Roman" w:cs="Times New Roman"/>
        </w:rPr>
        <w:t>标志</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_Toc31988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rPr>
        <w:fldChar w:fldCharType="end"/>
      </w:r>
    </w:p>
    <w:p w14:paraId="27365DFC">
      <w:pPr>
        <w:pStyle w:val="29"/>
        <w:tabs>
          <w:tab w:val="right" w:leader="dot" w:pos="9070"/>
          <w:tab w:val="clear" w:pos="9344"/>
        </w:tabs>
        <w:spacing w:line="300" w:lineRule="exact"/>
        <w:ind w:left="210"/>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_Toc13981 </w:instrText>
      </w:r>
      <w:r>
        <w:rPr>
          <w:rFonts w:hint="default" w:ascii="Times New Roman" w:hAnsi="Times New Roman"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vertAlign w:val="baseline"/>
        </w:rPr>
        <w:t xml:space="preserve">8.2 </w:t>
      </w:r>
      <w:r>
        <w:rPr>
          <w:rFonts w:hint="default" w:ascii="Times New Roman" w:hAnsi="Times New Roman" w:cs="Times New Roman"/>
        </w:rPr>
        <w:t>包装</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_Toc13981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cs="Times New Roman"/>
        </w:rPr>
        <w:fldChar w:fldCharType="end"/>
      </w:r>
    </w:p>
    <w:p w14:paraId="119E0266">
      <w:pPr>
        <w:pStyle w:val="29"/>
        <w:tabs>
          <w:tab w:val="right" w:leader="dot" w:pos="9070"/>
          <w:tab w:val="clear" w:pos="9344"/>
        </w:tabs>
        <w:spacing w:line="300" w:lineRule="exact"/>
        <w:ind w:left="210"/>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_Toc1032 </w:instrText>
      </w:r>
      <w:r>
        <w:rPr>
          <w:rFonts w:hint="default" w:ascii="Times New Roman" w:hAnsi="Times New Roman"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vertAlign w:val="baseline"/>
        </w:rPr>
        <w:t xml:space="preserve">8.3 </w:t>
      </w:r>
      <w:r>
        <w:rPr>
          <w:rFonts w:hint="default" w:ascii="Times New Roman" w:hAnsi="Times New Roman" w:cs="Times New Roman"/>
        </w:rPr>
        <w:t>运输</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_Toc1032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cs="Times New Roman"/>
        </w:rPr>
        <w:fldChar w:fldCharType="end"/>
      </w:r>
    </w:p>
    <w:p w14:paraId="010B6A00">
      <w:pPr>
        <w:pStyle w:val="29"/>
        <w:tabs>
          <w:tab w:val="right" w:leader="dot" w:pos="9070"/>
          <w:tab w:val="clear" w:pos="9344"/>
        </w:tabs>
        <w:spacing w:line="300" w:lineRule="exact"/>
        <w:ind w:left="210"/>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_Toc20928 </w:instrText>
      </w:r>
      <w:r>
        <w:rPr>
          <w:rFonts w:hint="default" w:ascii="Times New Roman" w:hAnsi="Times New Roman" w:cs="Times New Roman"/>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vertAlign w:val="baseline"/>
        </w:rPr>
        <w:t xml:space="preserve">8.4 </w:t>
      </w:r>
      <w:r>
        <w:rPr>
          <w:rFonts w:hint="default" w:ascii="Times New Roman" w:hAnsi="Times New Roman" w:cs="Times New Roman"/>
        </w:rPr>
        <w:t>贮存</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_Toc20928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cs="Times New Roman"/>
        </w:rPr>
        <w:fldChar w:fldCharType="end"/>
      </w:r>
    </w:p>
    <w:p w14:paraId="0DAAFA06">
      <w:pPr>
        <w:pStyle w:val="24"/>
        <w:tabs>
          <w:tab w:val="right" w:leader="dot" w:pos="9344"/>
        </w:tabs>
        <w:spacing w:line="400" w:lineRule="exact"/>
        <w:jc w:val="both"/>
        <w:rPr>
          <w:rFonts w:ascii="Times New Roman" w:hAnsi="Times New Roman"/>
        </w:rPr>
      </w:pPr>
      <w:r>
        <w:rPr>
          <w:rFonts w:hint="default" w:ascii="Times New Roman" w:hAnsi="Times New Roman" w:cs="Times New Roman"/>
        </w:rPr>
        <w:fldChar w:fldCharType="end"/>
      </w:r>
      <w:bookmarkStart w:id="20" w:name="_Hlk78098231"/>
    </w:p>
    <w:p w14:paraId="25CF4E76">
      <w:pPr>
        <w:pStyle w:val="28"/>
        <w:tabs>
          <w:tab w:val="right" w:leader="dot" w:pos="9070"/>
        </w:tabs>
        <w:jc w:val="both"/>
        <w:rPr>
          <w:rFonts w:hint="default" w:ascii="Times New Roman" w:hAnsi="Times New Roman" w:cs="Times New Roman"/>
        </w:rPr>
      </w:pPr>
      <w:r>
        <w:rPr>
          <w:rFonts w:hint="default" w:ascii="Times New Roman" w:hAnsi="Times New Roman" w:cs="Times New Roman"/>
          <w:kern w:val="2"/>
          <w:szCs w:val="24"/>
        </w:rPr>
        <w:fldChar w:fldCharType="begin"/>
      </w:r>
      <w:r>
        <w:rPr>
          <w:rFonts w:hint="default" w:ascii="Times New Roman" w:hAnsi="Times New Roman" w:cs="Times New Roman"/>
          <w:kern w:val="2"/>
          <w:szCs w:val="24"/>
        </w:rPr>
        <w:instrText xml:space="preserve">TOC \h \c "图"</w:instrText>
      </w:r>
      <w:r>
        <w:rPr>
          <w:rFonts w:hint="default" w:ascii="Times New Roman" w:hAnsi="Times New Roman" w:cs="Times New Roman"/>
          <w:kern w:val="2"/>
          <w:szCs w:val="24"/>
        </w:rPr>
        <w:fldChar w:fldCharType="separate"/>
      </w:r>
      <w:r>
        <w:rPr>
          <w:rFonts w:hint="default" w:ascii="Times New Roman" w:hAnsi="Times New Roman" w:cs="Times New Roman"/>
          <w:kern w:val="2"/>
          <w:szCs w:val="24"/>
        </w:rPr>
        <w:fldChar w:fldCharType="begin"/>
      </w:r>
      <w:r>
        <w:rPr>
          <w:rFonts w:hint="default" w:ascii="Times New Roman" w:hAnsi="Times New Roman" w:cs="Times New Roman"/>
          <w:kern w:val="2"/>
          <w:szCs w:val="24"/>
        </w:rPr>
        <w:instrText xml:space="preserve"> HYPERLINK \l _Toc23988 </w:instrText>
      </w:r>
      <w:r>
        <w:rPr>
          <w:rFonts w:hint="default" w:ascii="Times New Roman" w:hAnsi="Times New Roman" w:cs="Times New Roman"/>
          <w:kern w:val="2"/>
          <w:szCs w:val="24"/>
        </w:rPr>
        <w:fldChar w:fldCharType="separate"/>
      </w:r>
      <w:r>
        <w:rPr>
          <w:rFonts w:hint="default" w:ascii="Times New Roman" w:hAnsi="Times New Roman" w:cs="Times New Roman"/>
          <w:szCs w:val="24"/>
        </w:rPr>
        <w:t xml:space="preserve">图 </w:t>
      </w:r>
      <w:r>
        <w:rPr>
          <w:rFonts w:hint="default" w:ascii="Times New Roman" w:hAnsi="Times New Roman" w:cs="Times New Roman"/>
        </w:rPr>
        <w:t xml:space="preserve">1 </w:t>
      </w:r>
      <w:r>
        <w:rPr>
          <w:rFonts w:hint="default" w:ascii="Times New Roman" w:hAnsi="Times New Roman" w:cs="Times New Roman"/>
          <w:szCs w:val="24"/>
        </w:rPr>
        <w:t>谷类清洗浸泡成套设备型号组成</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_Toc23988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kern w:val="2"/>
          <w:szCs w:val="24"/>
        </w:rPr>
        <w:fldChar w:fldCharType="end"/>
      </w:r>
    </w:p>
    <w:p w14:paraId="707D139D">
      <w:pPr>
        <w:pStyle w:val="28"/>
        <w:tabs>
          <w:tab w:val="right" w:leader="dot" w:pos="9070"/>
        </w:tabs>
        <w:jc w:val="both"/>
        <w:rPr>
          <w:rFonts w:hint="default" w:ascii="Times New Roman" w:hAnsi="Times New Roman" w:cs="Times New Roman"/>
          <w:kern w:val="0"/>
          <w:szCs w:val="20"/>
        </w:rPr>
      </w:pPr>
      <w:r>
        <w:rPr>
          <w:rFonts w:hint="default" w:ascii="Times New Roman" w:hAnsi="Times New Roman" w:cs="Times New Roman"/>
          <w:kern w:val="2"/>
          <w:szCs w:val="24"/>
        </w:rPr>
        <w:fldChar w:fldCharType="end"/>
      </w:r>
    </w:p>
    <w:p w14:paraId="13B94C18">
      <w:pPr>
        <w:pStyle w:val="28"/>
        <w:tabs>
          <w:tab w:val="right" w:leader="dot" w:pos="9070"/>
        </w:tabs>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\h \c "表"</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_Toc14521 </w:instrText>
      </w:r>
      <w:r>
        <w:rPr>
          <w:rFonts w:hint="default" w:ascii="Times New Roman" w:hAnsi="Times New Roman" w:cs="Times New Roman"/>
        </w:rPr>
        <w:fldChar w:fldCharType="separate"/>
      </w:r>
      <w:r>
        <w:rPr>
          <w:rFonts w:hint="default" w:ascii="Times New Roman" w:hAnsi="Times New Roman" w:cs="Times New Roman"/>
          <w:szCs w:val="21"/>
        </w:rPr>
        <w:t xml:space="preserve">表 </w:t>
      </w:r>
      <w:r>
        <w:rPr>
          <w:rFonts w:hint="default" w:ascii="Times New Roman" w:hAnsi="Times New Roman" w:cs="Times New Roman"/>
        </w:rPr>
        <w:t xml:space="preserve">1 </w:t>
      </w:r>
      <w:r>
        <w:rPr>
          <w:rFonts w:hint="default" w:ascii="Times New Roman" w:hAnsi="Times New Roman" w:cs="Times New Roman"/>
          <w:szCs w:val="21"/>
        </w:rPr>
        <w:t>成套设备主要性能参数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_Toc14521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fldChar w:fldCharType="end"/>
      </w:r>
    </w:p>
    <w:p w14:paraId="371CFFC0">
      <w:pPr>
        <w:pStyle w:val="28"/>
        <w:tabs>
          <w:tab w:val="right" w:leader="dot" w:pos="9070"/>
        </w:tabs>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_Toc1840 </w:instrText>
      </w:r>
      <w:r>
        <w:rPr>
          <w:rFonts w:hint="default" w:ascii="Times New Roman" w:hAnsi="Times New Roman" w:cs="Times New Roman"/>
        </w:rPr>
        <w:fldChar w:fldCharType="separate"/>
      </w:r>
      <w:r>
        <w:rPr>
          <w:rFonts w:hint="default" w:ascii="Times New Roman" w:hAnsi="Times New Roman" w:cs="Times New Roman"/>
          <w:szCs w:val="21"/>
        </w:rPr>
        <w:t xml:space="preserve">表 </w:t>
      </w:r>
      <w:r>
        <w:rPr>
          <w:rFonts w:hint="default" w:ascii="Times New Roman" w:hAnsi="Times New Roman" w:cs="Times New Roman"/>
        </w:rPr>
        <w:t xml:space="preserve">2 </w:t>
      </w:r>
      <w:r>
        <w:rPr>
          <w:rFonts w:hint="default" w:ascii="Times New Roman" w:hAnsi="Times New Roman" w:cs="Times New Roman"/>
          <w:szCs w:val="21"/>
        </w:rPr>
        <w:t>检查项目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_Toc1840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rPr>
        <w:fldChar w:fldCharType="end"/>
      </w:r>
    </w:p>
    <w:p w14:paraId="20274982">
      <w:pPr>
        <w:pStyle w:val="28"/>
        <w:tabs>
          <w:tab w:val="right" w:leader="dot" w:pos="9070"/>
        </w:tabs>
        <w:jc w:val="both"/>
      </w:pPr>
      <w:r>
        <w:rPr>
          <w:rFonts w:hint="default" w:ascii="Times New Roman" w:hAnsi="Times New Roman" w:cs="Times New Roman"/>
        </w:rPr>
        <w:fldChar w:fldCharType="end"/>
      </w:r>
    </w:p>
    <w:bookmarkEnd w:id="12"/>
    <w:bookmarkEnd w:id="20"/>
    <w:p w14:paraId="1E3BCC22">
      <w:pPr>
        <w:pStyle w:val="161"/>
        <w:numPr>
          <w:ilvl w:val="0"/>
          <w:numId w:val="35"/>
        </w:numPr>
        <w:rPr>
          <w:rFonts w:hint="eastAsia" w:ascii="等线 Light" w:hAnsi="等线 Light"/>
          <w:szCs w:val="32"/>
        </w:rPr>
      </w:pPr>
      <w:bookmarkStart w:id="21" w:name="_Toc44575478"/>
      <w:bookmarkStart w:id="22" w:name="_Toc32427"/>
      <w:bookmarkStart w:id="23" w:name="_Toc196411769"/>
      <w:bookmarkStart w:id="24" w:name="_Toc94259924"/>
      <w:bookmarkStart w:id="25" w:name="BookMark2"/>
    </w:p>
    <w:p w14:paraId="7712E7E6">
      <w:pPr>
        <w:rPr>
          <w:rFonts w:hint="eastAsia" w:ascii="等线 Light" w:hAnsi="等线 Light"/>
          <w:szCs w:val="32"/>
        </w:rPr>
      </w:pPr>
      <w:r>
        <w:rPr>
          <w:rFonts w:ascii="Times New Roman"/>
        </w:rPr>
        <w:br w:type="page"/>
      </w:r>
    </w:p>
    <w:p w14:paraId="2B57618F">
      <w:pPr>
        <w:pStyle w:val="161"/>
        <w:numPr>
          <w:ilvl w:val="0"/>
          <w:numId w:val="35"/>
        </w:numPr>
        <w:rPr>
          <w:rFonts w:hint="eastAsia" w:ascii="等线 Light" w:hAnsi="等线 Light"/>
          <w:bCs/>
          <w:szCs w:val="32"/>
        </w:rPr>
      </w:pPr>
      <w:bookmarkStart w:id="26" w:name="_Toc16281"/>
      <w:bookmarkStart w:id="27" w:name="_Toc208854169"/>
      <w:bookmarkStart w:id="28" w:name="_Toc19967"/>
      <w:bookmarkStart w:id="29" w:name="_Toc19017"/>
      <w:bookmarkStart w:id="30" w:name="_Toc10010"/>
      <w:bookmarkStart w:id="31" w:name="_Toc18465"/>
      <w:r>
        <w:rPr>
          <w:rFonts w:hint="eastAsia" w:ascii="等线 Light" w:hAnsi="等线 Light"/>
          <w:bCs/>
          <w:szCs w:val="32"/>
        </w:rPr>
        <w:t>前  言</w:t>
      </w:r>
      <w:bookmarkEnd w:id="21"/>
      <w:bookmarkEnd w:id="22"/>
      <w:bookmarkEnd w:id="23"/>
      <w:bookmarkEnd w:id="26"/>
      <w:bookmarkEnd w:id="27"/>
      <w:bookmarkEnd w:id="28"/>
      <w:bookmarkEnd w:id="29"/>
      <w:bookmarkEnd w:id="30"/>
      <w:bookmarkEnd w:id="31"/>
    </w:p>
    <w:bookmarkEnd w:id="13"/>
    <w:bookmarkEnd w:id="14"/>
    <w:bookmarkEnd w:id="15"/>
    <w:bookmarkEnd w:id="16"/>
    <w:bookmarkEnd w:id="17"/>
    <w:bookmarkEnd w:id="18"/>
    <w:bookmarkEnd w:id="19"/>
    <w:bookmarkEnd w:id="24"/>
    <w:p w14:paraId="5246804B">
      <w:pPr>
        <w:widowControl/>
        <w:autoSpaceDE w:val="0"/>
        <w:autoSpaceDN w:val="0"/>
        <w:spacing w:line="360" w:lineRule="exact"/>
        <w:ind w:firstLine="420" w:firstLineChars="200"/>
        <w:rPr>
          <w:rFonts w:ascii="Times New Roman" w:hAnsi="Times New Roman"/>
          <w:kern w:val="0"/>
          <w:szCs w:val="20"/>
        </w:rPr>
      </w:pPr>
      <w:r>
        <w:rPr>
          <w:rFonts w:ascii="Times New Roman" w:hAnsi="Times New Roman"/>
          <w:kern w:val="0"/>
          <w:szCs w:val="20"/>
        </w:rPr>
        <w:t>本文件按照GB/T 1.1—2020《标准化工作导则   第1部分：标准化文件的结构和起草规则》的规定起草。</w:t>
      </w:r>
    </w:p>
    <w:p w14:paraId="75B492D0">
      <w:pPr>
        <w:widowControl/>
        <w:autoSpaceDE w:val="0"/>
        <w:autoSpaceDN w:val="0"/>
        <w:spacing w:line="360" w:lineRule="exact"/>
        <w:ind w:firstLine="420" w:firstLineChars="200"/>
        <w:rPr>
          <w:rFonts w:ascii="Times New Roman" w:hAnsi="Times New Roman"/>
        </w:rPr>
      </w:pPr>
      <w:r>
        <w:rPr>
          <w:rFonts w:ascii="Times New Roman" w:hAnsi="Times New Roman"/>
          <w:kern w:val="0"/>
          <w:szCs w:val="20"/>
        </w:rPr>
        <w:t>请注意本文件的某些内容可能涉及专利。本文件的发布机构不承担识别专利的责任。</w:t>
      </w:r>
    </w:p>
    <w:p w14:paraId="2B71200A">
      <w:pPr>
        <w:widowControl/>
        <w:autoSpaceDE w:val="0"/>
        <w:autoSpaceDN w:val="0"/>
        <w:spacing w:line="360" w:lineRule="exact"/>
        <w:ind w:firstLine="420" w:firstLineChars="200"/>
        <w:rPr>
          <w:rFonts w:ascii="Times New Roman" w:hAnsi="Times New Roman"/>
        </w:rPr>
      </w:pPr>
      <w:r>
        <w:rPr>
          <w:rFonts w:ascii="Times New Roman" w:hAnsi="Times New Roman"/>
          <w:kern w:val="0"/>
          <w:szCs w:val="20"/>
        </w:rPr>
        <w:t>本文件由中国机械工业联合会提出。</w:t>
      </w:r>
    </w:p>
    <w:p w14:paraId="2DE6D775">
      <w:pPr>
        <w:widowControl/>
        <w:autoSpaceDE w:val="0"/>
        <w:autoSpaceDN w:val="0"/>
        <w:spacing w:line="360" w:lineRule="exact"/>
        <w:ind w:firstLine="420" w:firstLineChars="200"/>
        <w:rPr>
          <w:rFonts w:ascii="Times New Roman" w:hAnsi="Times New Roman"/>
        </w:rPr>
      </w:pPr>
      <w:r>
        <w:rPr>
          <w:rFonts w:ascii="Times New Roman" w:hAnsi="Times New Roman"/>
          <w:kern w:val="0"/>
          <w:szCs w:val="20"/>
        </w:rPr>
        <w:t>本文件由机械工业食品机械标准化技术委员会（CMIF/TC</w:t>
      </w:r>
      <w:r>
        <w:rPr>
          <w:rFonts w:hint="eastAsia" w:ascii="Times New Roman" w:hAnsi="Times New Roman"/>
          <w:kern w:val="0"/>
          <w:szCs w:val="20"/>
        </w:rPr>
        <w:t xml:space="preserve"> </w:t>
      </w:r>
      <w:r>
        <w:rPr>
          <w:rFonts w:ascii="Times New Roman" w:hAnsi="Times New Roman"/>
          <w:kern w:val="0"/>
          <w:szCs w:val="20"/>
        </w:rPr>
        <w:t>14）归口。</w:t>
      </w:r>
    </w:p>
    <w:p w14:paraId="0BE46359">
      <w:pPr>
        <w:widowControl/>
        <w:autoSpaceDE w:val="0"/>
        <w:autoSpaceDN w:val="0"/>
        <w:spacing w:line="360" w:lineRule="exact"/>
        <w:ind w:firstLine="420" w:firstLineChars="200"/>
        <w:rPr>
          <w:rFonts w:ascii="Times New Roman" w:hAnsi="Times New Roman"/>
          <w:kern w:val="0"/>
          <w:szCs w:val="20"/>
        </w:rPr>
      </w:pPr>
      <w:r>
        <w:rPr>
          <w:rFonts w:ascii="Times New Roman" w:hAnsi="Times New Roman"/>
          <w:kern w:val="0"/>
          <w:szCs w:val="20"/>
        </w:rPr>
        <w:t>本文件起草单位：</w:t>
      </w:r>
      <w:r>
        <w:rPr>
          <w:rFonts w:hint="eastAsia" w:ascii="Times New Roman" w:hAnsi="Times New Roman"/>
          <w:kern w:val="0"/>
          <w:szCs w:val="20"/>
        </w:rPr>
        <w:t>淮南徽旺豆制品设备有限公司、淮南市标准化研究院、******</w:t>
      </w:r>
      <w:r>
        <w:rPr>
          <w:rFonts w:ascii="Times New Roman" w:hAnsi="Times New Roman"/>
          <w:kern w:val="0"/>
          <w:szCs w:val="20"/>
        </w:rPr>
        <w:t>。</w:t>
      </w:r>
    </w:p>
    <w:p w14:paraId="53C3F784">
      <w:pPr>
        <w:widowControl/>
        <w:autoSpaceDE w:val="0"/>
        <w:autoSpaceDN w:val="0"/>
        <w:spacing w:line="360" w:lineRule="exact"/>
        <w:ind w:firstLine="420" w:firstLineChars="200"/>
        <w:rPr>
          <w:rFonts w:ascii="Times New Roman" w:hAnsi="Times New Roman"/>
          <w:kern w:val="0"/>
          <w:szCs w:val="20"/>
        </w:rPr>
      </w:pPr>
      <w:r>
        <w:rPr>
          <w:rFonts w:ascii="Times New Roman" w:hAnsi="Times New Roman"/>
          <w:kern w:val="0"/>
          <w:szCs w:val="20"/>
        </w:rPr>
        <w:t>本文件主要起草人：</w:t>
      </w:r>
      <w:r>
        <w:rPr>
          <w:rFonts w:hint="eastAsia" w:ascii="Times New Roman" w:hAnsi="Times New Roman"/>
          <w:kern w:val="0"/>
          <w:szCs w:val="20"/>
        </w:rPr>
        <w:t>周博涵、王位、毕昌水、徐涛、刘慧莲、朱雅茹、赵雅洁、******</w:t>
      </w:r>
      <w:r>
        <w:rPr>
          <w:rFonts w:ascii="Times New Roman" w:hAnsi="Times New Roman"/>
          <w:kern w:val="0"/>
          <w:szCs w:val="20"/>
        </w:rPr>
        <w:t>。</w:t>
      </w:r>
    </w:p>
    <w:p w14:paraId="1FFB66E9">
      <w:pPr>
        <w:ind w:firstLine="420"/>
        <w:rPr>
          <w:rFonts w:ascii="Times New Roman" w:hAnsi="Times New Roman"/>
          <w:color w:val="FF0000"/>
          <w:kern w:val="0"/>
          <w:sz w:val="18"/>
          <w:szCs w:val="18"/>
        </w:rPr>
      </w:pPr>
      <w:r>
        <w:rPr>
          <w:rFonts w:hint="eastAsia" w:ascii="Times New Roman" w:hAnsi="Times New Roman"/>
          <w:kern w:val="0"/>
          <w:szCs w:val="20"/>
        </w:rPr>
        <w:t xml:space="preserve">本文件为首次发布。 </w:t>
      </w:r>
    </w:p>
    <w:p w14:paraId="0AA7B7F6">
      <w:pPr>
        <w:ind w:firstLine="420"/>
        <w:sectPr>
          <w:headerReference r:id="rId9" w:type="even"/>
          <w:pgSz w:w="11906" w:h="16838"/>
          <w:pgMar w:top="1418" w:right="1134" w:bottom="1134" w:left="1418" w:header="1418" w:footer="1134" w:gutter="284"/>
          <w:pgNumType w:fmt="upperRoman"/>
          <w:cols w:space="425" w:num="1"/>
          <w:formProt w:val="0"/>
          <w:docGrid w:linePitch="312" w:charSpace="0"/>
        </w:sectPr>
      </w:pPr>
      <w:r>
        <w:rPr>
          <w:rFonts w:hint="eastAsia"/>
        </w:rPr>
        <w:t xml:space="preserve"> </w:t>
      </w:r>
    </w:p>
    <w:bookmarkEnd w:id="25"/>
    <w:p w14:paraId="5F491E80">
      <w:pPr>
        <w:spacing w:line="20" w:lineRule="exact"/>
        <w:ind w:firstLine="640"/>
        <w:jc w:val="center"/>
        <w:rPr>
          <w:rFonts w:hint="eastAsia" w:ascii="黑体" w:hAnsi="黑体" w:eastAsia="黑体"/>
          <w:sz w:val="32"/>
          <w:szCs w:val="32"/>
        </w:rPr>
      </w:pPr>
      <w:bookmarkStart w:id="32" w:name="BookMark4"/>
    </w:p>
    <w:p w14:paraId="1323EEF1">
      <w:pPr>
        <w:spacing w:line="20" w:lineRule="exact"/>
        <w:ind w:firstLine="640"/>
        <w:jc w:val="center"/>
        <w:rPr>
          <w:rFonts w:hint="eastAsia" w:ascii="黑体" w:hAnsi="黑体" w:eastAsia="黑体"/>
          <w:sz w:val="32"/>
          <w:szCs w:val="32"/>
        </w:rPr>
      </w:pPr>
    </w:p>
    <w:p w14:paraId="6492503E">
      <w:pPr>
        <w:spacing w:line="20" w:lineRule="exact"/>
        <w:ind w:firstLine="640"/>
        <w:jc w:val="center"/>
        <w:rPr>
          <w:rFonts w:hint="eastAsia" w:ascii="黑体" w:hAnsi="黑体" w:eastAsia="黑体"/>
          <w:sz w:val="32"/>
          <w:szCs w:val="32"/>
        </w:rPr>
      </w:pPr>
    </w:p>
    <w:p w14:paraId="5C1D394E">
      <w:pPr>
        <w:spacing w:line="20" w:lineRule="exact"/>
        <w:ind w:firstLine="640"/>
        <w:jc w:val="center"/>
        <w:rPr>
          <w:rFonts w:hint="eastAsia" w:ascii="黑体" w:hAnsi="黑体" w:eastAsia="黑体"/>
          <w:sz w:val="32"/>
          <w:szCs w:val="32"/>
        </w:rPr>
      </w:pPr>
    </w:p>
    <w:p w14:paraId="682C5CEB">
      <w:pPr>
        <w:spacing w:line="20" w:lineRule="exact"/>
        <w:ind w:firstLine="640"/>
        <w:jc w:val="center"/>
        <w:rPr>
          <w:rFonts w:hint="eastAsia" w:ascii="黑体" w:hAnsi="黑体" w:eastAsia="黑体"/>
          <w:sz w:val="32"/>
          <w:szCs w:val="32"/>
        </w:rPr>
      </w:pPr>
    </w:p>
    <w:p w14:paraId="08F59FAE">
      <w:pPr>
        <w:spacing w:line="20" w:lineRule="exact"/>
        <w:ind w:firstLine="640"/>
        <w:jc w:val="center"/>
        <w:rPr>
          <w:rFonts w:hint="eastAsia" w:ascii="黑体" w:hAnsi="黑体" w:eastAsia="黑体"/>
          <w:sz w:val="32"/>
          <w:szCs w:val="32"/>
        </w:rPr>
      </w:pPr>
    </w:p>
    <w:p w14:paraId="51FB96CC">
      <w:pPr>
        <w:spacing w:line="20" w:lineRule="exact"/>
        <w:ind w:firstLine="640"/>
        <w:jc w:val="center"/>
        <w:rPr>
          <w:rFonts w:hint="eastAsia" w:ascii="黑体" w:hAnsi="黑体" w:eastAsia="黑体"/>
          <w:sz w:val="32"/>
          <w:szCs w:val="32"/>
        </w:rPr>
      </w:pPr>
    </w:p>
    <w:p w14:paraId="3BD4FFFA">
      <w:pPr>
        <w:pStyle w:val="161"/>
        <w:numPr>
          <w:ilvl w:val="0"/>
          <w:numId w:val="35"/>
        </w:numPr>
        <w:rPr>
          <w:rFonts w:hint="eastAsia" w:ascii="等线 Light" w:hAnsi="等线 Light"/>
          <w:bCs/>
          <w:szCs w:val="32"/>
        </w:rPr>
      </w:pPr>
      <w:bookmarkStart w:id="33" w:name="_Toc23001"/>
      <w:bookmarkStart w:id="34" w:name="_Toc31127"/>
      <w:bookmarkStart w:id="35" w:name="_Toc208854170"/>
      <w:bookmarkStart w:id="36" w:name="_Toc995"/>
      <w:bookmarkStart w:id="37" w:name="_Toc18877"/>
      <w:r>
        <w:rPr>
          <w:rFonts w:hint="eastAsia" w:ascii="等线 Light" w:hAnsi="等线 Light"/>
          <w:bCs/>
          <w:szCs w:val="32"/>
        </w:rPr>
        <w:t>引  言</w:t>
      </w:r>
      <w:bookmarkEnd w:id="33"/>
      <w:bookmarkEnd w:id="34"/>
      <w:bookmarkEnd w:id="35"/>
      <w:bookmarkEnd w:id="36"/>
      <w:bookmarkEnd w:id="37"/>
    </w:p>
    <w:p w14:paraId="756CFAED">
      <w:pPr>
        <w:pStyle w:val="247"/>
        <w:numPr>
          <w:ilvl w:val="0"/>
          <w:numId w:val="35"/>
        </w:numPr>
        <w:spacing w:line="360" w:lineRule="exact"/>
        <w:ind w:firstLine="420"/>
        <w:jc w:val="both"/>
        <w:rPr>
          <w:rFonts w:hint="eastAsia" w:ascii="宋体" w:hAnsi="宋体"/>
        </w:rPr>
      </w:pPr>
      <w:r>
        <w:rPr>
          <w:rFonts w:hint="eastAsia" w:ascii="宋体" w:hAnsi="宋体"/>
        </w:rPr>
        <w:t>谷物清洗浸泡作为谷物加工的前置核心环节，直接影响后续生产效率与成品质量安全。而传统的谷类清洗浸泡过程存在用水量大、清洗浸泡时间长等问题，促使企业亟需转型升级。谷物清洗浸泡成套设备将清洗用水沉淀、过滤再利用以降低用水量，通过加热谷物浸泡用水缩短浸泡时间，显著提高生产效率和经济效益的同时降低能耗，有效提升谷类生产加工企业的市场竞争力。</w:t>
      </w:r>
    </w:p>
    <w:p w14:paraId="70E33F85">
      <w:pPr>
        <w:pStyle w:val="247"/>
        <w:numPr>
          <w:ilvl w:val="0"/>
          <w:numId w:val="35"/>
        </w:numPr>
        <w:spacing w:line="360" w:lineRule="exact"/>
        <w:ind w:firstLine="420"/>
        <w:jc w:val="both"/>
        <w:rPr>
          <w:rFonts w:hint="eastAsia" w:ascii="宋体" w:hAnsi="宋体"/>
        </w:rPr>
      </w:pPr>
      <w:r>
        <w:rPr>
          <w:rFonts w:hint="eastAsia" w:ascii="宋体" w:hAnsi="宋体"/>
        </w:rPr>
        <w:t>随着食品工业的快速发展，谷物作为基础食材，其清洗浸泡过程的安全性、高效性和标准化需求日益凸显。本文件紧密贴合市场对谷物清洗浸泡成套设备的实际需求，着力解决设备在材料、制造质量、安全防护和卫生要求等方面无标可依的问题，为谷物清洗浸泡成套设备的制造、性能试验和验收提供技术依据，为谷物清洗浸泡成套设备的推广应用提供标准规范。可以被设备制造、使用和监督单位广泛采用，有利于指导制造、运输和贮存等管理工作，有利于质量管控和提高企业技术水平，对规范企业行为、维护营商环境和保障使用者利益等具有重要作用。</w:t>
      </w:r>
    </w:p>
    <w:p w14:paraId="5908C109">
      <w:pPr>
        <w:spacing w:line="480" w:lineRule="auto"/>
        <w:ind w:firstLine="640"/>
        <w:jc w:val="center"/>
        <w:rPr>
          <w:rFonts w:hint="eastAsia" w:ascii="黑体" w:hAnsi="黑体" w:eastAsia="黑体"/>
          <w:sz w:val="32"/>
          <w:szCs w:val="32"/>
        </w:rPr>
      </w:pPr>
    </w:p>
    <w:p w14:paraId="3FE24984">
      <w:pPr>
        <w:spacing w:line="240" w:lineRule="auto"/>
        <w:ind w:firstLine="640"/>
        <w:jc w:val="center"/>
        <w:rPr>
          <w:rFonts w:hint="eastAsia" w:ascii="黑体" w:hAnsi="黑体" w:eastAsia="黑体"/>
          <w:sz w:val="32"/>
          <w:szCs w:val="32"/>
        </w:rPr>
      </w:pPr>
    </w:p>
    <w:p w14:paraId="672B1F39">
      <w:pPr>
        <w:pStyle w:val="161"/>
        <w:numPr>
          <w:ilvl w:val="0"/>
          <w:numId w:val="35"/>
        </w:numPr>
        <w:spacing w:before="849" w:after="680"/>
        <w:sectPr>
          <w:footerReference r:id="rId10" w:type="default"/>
          <w:footerReference r:id="rId11" w:type="even"/>
          <w:pgSz w:w="11906" w:h="16838"/>
          <w:pgMar w:top="1418" w:right="1134" w:bottom="1134" w:left="1418" w:header="1418" w:footer="1134" w:gutter="284"/>
          <w:pgNumType w:start="1"/>
          <w:cols w:space="425" w:num="1"/>
          <w:formProt w:val="0"/>
          <w:docGrid w:linePitch="312" w:charSpace="0"/>
        </w:sectPr>
      </w:pPr>
      <w:bookmarkStart w:id="38" w:name="_Toc120107380"/>
      <w:bookmarkStart w:id="39" w:name="_Toc114578708"/>
      <w:bookmarkStart w:id="40" w:name="_Toc114578759"/>
      <w:bookmarkStart w:id="41" w:name="_Toc19457"/>
      <w:bookmarkStart w:id="42" w:name="_Toc196411770"/>
      <w:bookmarkStart w:id="43" w:name="_Toc26868"/>
      <w:bookmarkStart w:id="44" w:name="_Toc108883466"/>
      <w:bookmarkStart w:id="45" w:name="_Toc103786071"/>
      <w:bookmarkStart w:id="46" w:name="_Toc103786124"/>
      <w:bookmarkStart w:id="47" w:name="_Toc107129069"/>
      <w:bookmarkStart w:id="48" w:name="NEW_STAND_NAME"/>
      <w:bookmarkStart w:id="49" w:name="_Toc103873475"/>
      <w:bookmarkStart w:id="50" w:name="_Toc103784687"/>
      <w:bookmarkStart w:id="51" w:name="_Toc109500881"/>
    </w:p>
    <w:p w14:paraId="7C59B87A">
      <w:pPr>
        <w:pStyle w:val="161"/>
        <w:numPr>
          <w:ilvl w:val="0"/>
          <w:numId w:val="35"/>
        </w:numPr>
        <w:spacing w:before="849" w:after="680"/>
      </w:pPr>
      <w:bookmarkStart w:id="52" w:name="_Toc204448551"/>
      <w:bookmarkStart w:id="53" w:name="_Toc29333"/>
      <w:bookmarkStart w:id="54" w:name="_Toc3643"/>
      <w:bookmarkStart w:id="55" w:name="_Toc30511"/>
      <w:bookmarkStart w:id="56" w:name="_Toc31995"/>
      <w:bookmarkStart w:id="57" w:name="_Toc8548"/>
      <w:bookmarkStart w:id="58" w:name="_Toc21668"/>
      <w:bookmarkStart w:id="59" w:name="_Toc10732"/>
      <w:bookmarkStart w:id="60" w:name="_Toc22493"/>
      <w:bookmarkStart w:id="61" w:name="_Toc208854171"/>
      <w:bookmarkStart w:id="62" w:name="_Toc29505"/>
      <w:bookmarkStart w:id="63" w:name="_Toc204068437"/>
      <w:bookmarkStart w:id="64" w:name="_Toc7121"/>
      <w:bookmarkStart w:id="65" w:name="_Toc21395"/>
      <w:r>
        <w:rPr>
          <w:rFonts w:hint="eastAsia"/>
        </w:rPr>
        <w:t xml:space="preserve">食品机械 </w:t>
      </w:r>
      <w:r>
        <w:t xml:space="preserve"> </w:t>
      </w:r>
      <w:bookmarkEnd w:id="38"/>
      <w:bookmarkEnd w:id="39"/>
      <w:bookmarkEnd w:id="40"/>
      <w:r>
        <w:rPr>
          <w:rFonts w:hint="eastAsia"/>
        </w:rPr>
        <w:t>谷类清洗浸泡成套设备</w:t>
      </w:r>
      <w:bookmarkEnd w:id="41"/>
      <w:bookmarkEnd w:id="42"/>
      <w:bookmarkEnd w:id="43"/>
      <w:bookmarkEnd w:id="52"/>
      <w:bookmarkEnd w:id="53"/>
      <w:bookmarkEnd w:id="54"/>
      <w:bookmarkEnd w:id="55"/>
      <w:bookmarkEnd w:id="56"/>
      <w:bookmarkEnd w:id="57"/>
      <w:bookmarkEnd w:id="58"/>
      <w:bookmarkEnd w:id="59"/>
      <w:bookmarkEnd w:id="60"/>
      <w:bookmarkEnd w:id="61"/>
      <w:bookmarkEnd w:id="62"/>
      <w:bookmarkEnd w:id="63"/>
      <w:bookmarkEnd w:id="64"/>
      <w:bookmarkEnd w:id="65"/>
    </w:p>
    <w:bookmarkEnd w:id="44"/>
    <w:bookmarkEnd w:id="45"/>
    <w:bookmarkEnd w:id="46"/>
    <w:bookmarkEnd w:id="47"/>
    <w:bookmarkEnd w:id="48"/>
    <w:bookmarkEnd w:id="49"/>
    <w:bookmarkEnd w:id="50"/>
    <w:bookmarkEnd w:id="51"/>
    <w:p w14:paraId="19071A4E">
      <w:pPr>
        <w:pStyle w:val="268"/>
        <w:numPr>
          <w:ilvl w:val="1"/>
          <w:numId w:val="35"/>
        </w:numPr>
        <w:spacing w:before="240" w:after="240" w:line="240" w:lineRule="auto"/>
        <w:jc w:val="both"/>
        <w:rPr>
          <w:rFonts w:hint="eastAsia"/>
        </w:rPr>
      </w:pPr>
      <w:bookmarkStart w:id="66" w:name="_Toc1651887"/>
      <w:bookmarkEnd w:id="66"/>
      <w:bookmarkStart w:id="67" w:name="_Toc942024"/>
      <w:bookmarkEnd w:id="67"/>
      <w:bookmarkStart w:id="68" w:name="_Toc942353"/>
      <w:bookmarkEnd w:id="68"/>
      <w:bookmarkStart w:id="69" w:name="_Toc3860"/>
      <w:bookmarkStart w:id="70" w:name="_Toc196411771"/>
      <w:bookmarkStart w:id="71" w:name="_Toc19286"/>
      <w:bookmarkStart w:id="72" w:name="_Toc8178"/>
      <w:bookmarkStart w:id="73" w:name="_Toc208854172"/>
      <w:bookmarkStart w:id="74" w:name="_Toc22762"/>
      <w:bookmarkStart w:id="75" w:name="_Toc5418"/>
      <w:bookmarkStart w:id="76" w:name="_Toc14658"/>
      <w:bookmarkStart w:id="77" w:name="_Toc45616725"/>
      <w:bookmarkStart w:id="78" w:name="_Toc24884212"/>
      <w:bookmarkStart w:id="79" w:name="_Toc26648466"/>
      <w:bookmarkStart w:id="80" w:name="_Toc24884219"/>
      <w:bookmarkStart w:id="81" w:name="_Toc17233326"/>
      <w:bookmarkStart w:id="82" w:name="_Toc17233334"/>
      <w:r>
        <w:rPr>
          <w:rFonts w:hint="eastAsia"/>
        </w:rPr>
        <w:t>范围</w:t>
      </w:r>
      <w:bookmarkEnd w:id="69"/>
      <w:bookmarkEnd w:id="70"/>
      <w:bookmarkEnd w:id="71"/>
      <w:bookmarkEnd w:id="72"/>
      <w:bookmarkEnd w:id="73"/>
      <w:bookmarkEnd w:id="74"/>
      <w:bookmarkEnd w:id="75"/>
      <w:bookmarkEnd w:id="76"/>
    </w:p>
    <w:bookmarkEnd w:id="77"/>
    <w:p w14:paraId="4088F116">
      <w:pPr>
        <w:widowControl/>
        <w:autoSpaceDE w:val="0"/>
        <w:autoSpaceDN w:val="0"/>
        <w:adjustRightInd/>
        <w:spacing w:line="240" w:lineRule="auto"/>
        <w:ind w:firstLine="420" w:firstLineChars="200"/>
        <w:jc w:val="both"/>
        <w:rPr>
          <w:rFonts w:ascii="Times New Roman" w:hAnsi="Times New Roman"/>
        </w:rPr>
      </w:pPr>
      <w:r>
        <w:rPr>
          <w:rFonts w:hint="eastAsia" w:ascii="Times New Roman" w:hAnsi="Times New Roman"/>
        </w:rPr>
        <w:t>本文件规定了谷类清洗浸泡成套设备的型式与组成、技术要求，描述了相应的试验方法，规定了检验规则及标志、包装、运输和贮存要求。</w:t>
      </w:r>
    </w:p>
    <w:p w14:paraId="6095AF28">
      <w:pPr>
        <w:widowControl/>
        <w:autoSpaceDE w:val="0"/>
        <w:autoSpaceDN w:val="0"/>
        <w:adjustRightInd/>
        <w:spacing w:line="240" w:lineRule="auto"/>
        <w:ind w:firstLine="420" w:firstLineChars="200"/>
        <w:jc w:val="both"/>
        <w:rPr>
          <w:rFonts w:ascii="Times New Roman" w:hAnsi="Times New Roman"/>
        </w:rPr>
      </w:pPr>
      <w:r>
        <w:rPr>
          <w:rFonts w:hint="eastAsia" w:ascii="Times New Roman" w:hAnsi="Times New Roman"/>
        </w:rPr>
        <w:t>本文件适用于以干燥谷类为原料进行清洗、浸泡的成套设备的制造。</w:t>
      </w:r>
    </w:p>
    <w:p w14:paraId="696D8D63">
      <w:pPr>
        <w:pStyle w:val="268"/>
        <w:numPr>
          <w:ilvl w:val="1"/>
          <w:numId w:val="35"/>
        </w:numPr>
        <w:spacing w:before="240" w:after="240" w:line="240" w:lineRule="auto"/>
        <w:jc w:val="both"/>
        <w:rPr>
          <w:rFonts w:hint="eastAsia"/>
        </w:rPr>
      </w:pPr>
      <w:bookmarkStart w:id="83" w:name="_Toc103873477"/>
      <w:bookmarkEnd w:id="83"/>
      <w:bookmarkStart w:id="84" w:name="_Toc103784689"/>
      <w:bookmarkEnd w:id="84"/>
      <w:bookmarkStart w:id="85" w:name="_Toc103786073"/>
      <w:bookmarkEnd w:id="85"/>
      <w:bookmarkStart w:id="86" w:name="_Toc196411772"/>
      <w:bookmarkStart w:id="87" w:name="_Toc26986772"/>
      <w:bookmarkStart w:id="88" w:name="_Toc13752"/>
      <w:bookmarkStart w:id="89" w:name="_Toc77186036"/>
      <w:bookmarkStart w:id="90" w:name="_Toc76902174"/>
      <w:bookmarkStart w:id="91" w:name="_Toc26986531"/>
      <w:bookmarkStart w:id="92" w:name="_Toc24917"/>
      <w:bookmarkStart w:id="93" w:name="_Toc77186018"/>
      <w:bookmarkStart w:id="94" w:name="_Toc85527744"/>
      <w:bookmarkStart w:id="95" w:name="_Toc503"/>
      <w:bookmarkStart w:id="96" w:name="_Toc76532482"/>
      <w:bookmarkStart w:id="97" w:name="_Toc26718931"/>
      <w:bookmarkStart w:id="98" w:name="_Toc11282"/>
      <w:bookmarkStart w:id="99" w:name="_Toc21016"/>
      <w:bookmarkStart w:id="100" w:name="_Toc85527723"/>
      <w:bookmarkStart w:id="101" w:name="_Toc94259926"/>
      <w:bookmarkStart w:id="102" w:name="_Toc16008"/>
      <w:bookmarkStart w:id="103" w:name="_Toc76532361"/>
      <w:bookmarkStart w:id="104" w:name="_Toc208854173"/>
      <w:r>
        <w:rPr>
          <w:rFonts w:hint="eastAsia"/>
        </w:rPr>
        <w:t>规范性引用文件</w:t>
      </w:r>
      <w:bookmarkEnd w:id="78"/>
      <w:bookmarkEnd w:id="79"/>
      <w:bookmarkEnd w:id="80"/>
      <w:bookmarkEnd w:id="81"/>
      <w:bookmarkEnd w:id="82"/>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2AD5F279">
      <w:pPr>
        <w:widowControl/>
        <w:autoSpaceDE w:val="0"/>
        <w:autoSpaceDN w:val="0"/>
        <w:adjustRightInd/>
        <w:spacing w:line="240" w:lineRule="auto"/>
        <w:ind w:firstLine="420" w:firstLineChars="200"/>
        <w:jc w:val="both"/>
        <w:rPr>
          <w:rFonts w:ascii="Times New Roman"/>
        </w:rPr>
      </w:pPr>
      <w:r>
        <w:rPr>
          <w:rFonts w:hint="eastAsia" w:ascii="Times New Roman" w:hAns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CC3C7D3">
      <w:pPr>
        <w:widowControl/>
        <w:autoSpaceDE w:val="0"/>
        <w:autoSpaceDN w:val="0"/>
        <w:spacing w:line="240" w:lineRule="auto"/>
        <w:ind w:firstLine="420" w:firstLineChars="200"/>
        <w:jc w:val="both"/>
        <w:rPr>
          <w:rFonts w:hint="eastAsia" w:ascii="宋体" w:hAnsi="宋体"/>
          <w:kern w:val="0"/>
        </w:rPr>
      </w:pPr>
      <w:bookmarkStart w:id="105" w:name="_Hlk103073781"/>
      <w:bookmarkStart w:id="106" w:name="_Toc94259927"/>
      <w:bookmarkStart w:id="107" w:name="_Toc76532362"/>
      <w:bookmarkStart w:id="108" w:name="_Toc77186019"/>
      <w:bookmarkStart w:id="109" w:name="_Toc85527745"/>
      <w:bookmarkStart w:id="110" w:name="_Toc85527724"/>
      <w:bookmarkStart w:id="111" w:name="_Toc76532483"/>
      <w:bookmarkStart w:id="112" w:name="_Toc76902175"/>
      <w:bookmarkStart w:id="113" w:name="_Toc77186037"/>
      <w:r>
        <w:rPr>
          <w:rFonts w:hint="eastAsia" w:ascii="宋体" w:hAnsi="宋体"/>
          <w:kern w:val="0"/>
        </w:rPr>
        <w:t>GB/T 191  包装储运图示标志</w:t>
      </w:r>
    </w:p>
    <w:p w14:paraId="2DD5C883">
      <w:pPr>
        <w:widowControl/>
        <w:autoSpaceDE w:val="0"/>
        <w:autoSpaceDN w:val="0"/>
        <w:spacing w:line="240" w:lineRule="auto"/>
        <w:ind w:firstLine="420" w:firstLineChars="200"/>
        <w:jc w:val="both"/>
        <w:rPr>
          <w:rFonts w:hint="eastAsia" w:ascii="宋体" w:hAnsi="宋体"/>
          <w:kern w:val="0"/>
        </w:rPr>
      </w:pPr>
      <w:r>
        <w:rPr>
          <w:rFonts w:hint="eastAsia" w:ascii="宋体" w:hAnsi="宋体"/>
          <w:kern w:val="0"/>
        </w:rPr>
        <w:t>GB 2894  安全标志及其使用导则</w:t>
      </w:r>
    </w:p>
    <w:p w14:paraId="7D7A21ED">
      <w:pPr>
        <w:widowControl/>
        <w:autoSpaceDE w:val="0"/>
        <w:autoSpaceDN w:val="0"/>
        <w:spacing w:line="240" w:lineRule="auto"/>
        <w:ind w:firstLine="420" w:firstLineChars="200"/>
        <w:jc w:val="both"/>
        <w:rPr>
          <w:rFonts w:hint="eastAsia" w:ascii="宋体" w:hAnsi="宋体"/>
          <w:kern w:val="0"/>
        </w:rPr>
      </w:pPr>
      <w:r>
        <w:rPr>
          <w:rFonts w:hint="eastAsia" w:ascii="宋体" w:hAnsi="宋体"/>
          <w:kern w:val="0"/>
        </w:rPr>
        <w:t>GB/T 3768  声学  声压法测定噪声源声功率级和声能量级  采用反射面上方包络测量面的简易法</w:t>
      </w:r>
    </w:p>
    <w:p w14:paraId="51748738">
      <w:pPr>
        <w:widowControl/>
        <w:autoSpaceDE w:val="0"/>
        <w:autoSpaceDN w:val="0"/>
        <w:spacing w:line="240" w:lineRule="auto"/>
        <w:ind w:firstLine="420" w:firstLineChars="200"/>
        <w:jc w:val="both"/>
        <w:rPr>
          <w:rFonts w:hint="eastAsia" w:ascii="宋体" w:hAnsi="宋体"/>
          <w:kern w:val="0"/>
        </w:rPr>
      </w:pPr>
      <w:r>
        <w:rPr>
          <w:rFonts w:hint="eastAsia" w:ascii="宋体" w:hAnsi="宋体"/>
          <w:kern w:val="0"/>
        </w:rPr>
        <w:t>GB/T 4208  外壳防护等级（IP代码）</w:t>
      </w:r>
    </w:p>
    <w:p w14:paraId="7E744E93">
      <w:pPr>
        <w:widowControl/>
        <w:autoSpaceDE w:val="0"/>
        <w:autoSpaceDN w:val="0"/>
        <w:spacing w:line="240" w:lineRule="auto"/>
        <w:ind w:firstLine="420" w:firstLineChars="200"/>
        <w:jc w:val="both"/>
        <w:rPr>
          <w:rFonts w:hint="eastAsia" w:ascii="宋体" w:hAnsi="宋体"/>
          <w:kern w:val="0"/>
        </w:rPr>
      </w:pPr>
      <w:r>
        <w:rPr>
          <w:rFonts w:hint="eastAsia" w:ascii="宋体" w:hAnsi="宋体"/>
          <w:kern w:val="0"/>
        </w:rPr>
        <w:t>GB 4706.1  家用和类似用途电器的安全  第1部分：通用要求</w:t>
      </w:r>
    </w:p>
    <w:p w14:paraId="4EF7586F">
      <w:pPr>
        <w:widowControl/>
        <w:autoSpaceDE w:val="0"/>
        <w:autoSpaceDN w:val="0"/>
        <w:spacing w:line="240" w:lineRule="auto"/>
        <w:ind w:firstLine="420" w:firstLineChars="200"/>
        <w:jc w:val="both"/>
        <w:rPr>
          <w:rFonts w:hint="eastAsia" w:ascii="宋体" w:hAnsi="宋体"/>
          <w:kern w:val="0"/>
        </w:rPr>
      </w:pPr>
      <w:r>
        <w:rPr>
          <w:rFonts w:hint="eastAsia" w:ascii="宋体" w:hAnsi="宋体"/>
          <w:kern w:val="0"/>
        </w:rPr>
        <w:t>GB 4806.1  食品安全国家标准  食品接触材料及制品通用安全要求</w:t>
      </w:r>
    </w:p>
    <w:p w14:paraId="02087E0F">
      <w:pPr>
        <w:widowControl/>
        <w:autoSpaceDE w:val="0"/>
        <w:autoSpaceDN w:val="0"/>
        <w:spacing w:line="240" w:lineRule="auto"/>
        <w:ind w:firstLine="420" w:firstLineChars="200"/>
        <w:jc w:val="both"/>
        <w:rPr>
          <w:rFonts w:hint="eastAsia" w:ascii="宋体" w:hAnsi="宋体"/>
          <w:kern w:val="0"/>
        </w:rPr>
      </w:pPr>
      <w:r>
        <w:rPr>
          <w:rFonts w:hint="eastAsia" w:ascii="宋体" w:hAnsi="宋体"/>
          <w:kern w:val="0"/>
        </w:rPr>
        <w:t>GB 4806.10  食品安全国家标准  食品接触用涂料及涂层</w:t>
      </w:r>
    </w:p>
    <w:p w14:paraId="1AD8AFDC">
      <w:pPr>
        <w:widowControl/>
        <w:autoSpaceDE w:val="0"/>
        <w:autoSpaceDN w:val="0"/>
        <w:spacing w:line="240" w:lineRule="auto"/>
        <w:ind w:firstLine="420" w:firstLineChars="200"/>
        <w:jc w:val="both"/>
        <w:rPr>
          <w:rFonts w:hint="eastAsia" w:ascii="宋体" w:hAnsi="宋体"/>
          <w:kern w:val="0"/>
        </w:rPr>
      </w:pPr>
      <w:r>
        <w:rPr>
          <w:rFonts w:hint="eastAsia" w:ascii="宋体" w:hAnsi="宋体"/>
          <w:kern w:val="0"/>
        </w:rPr>
        <w:t>GB/T 5226.1  机械电气安全  机械电气设备  第1部分：通用技术条件</w:t>
      </w:r>
    </w:p>
    <w:p w14:paraId="05DF5D6D">
      <w:pPr>
        <w:widowControl/>
        <w:autoSpaceDE w:val="0"/>
        <w:autoSpaceDN w:val="0"/>
        <w:spacing w:line="240" w:lineRule="auto"/>
        <w:ind w:firstLine="420" w:firstLineChars="200"/>
        <w:jc w:val="both"/>
        <w:rPr>
          <w:rFonts w:hint="eastAsia" w:ascii="宋体" w:hAnsi="宋体"/>
          <w:kern w:val="0"/>
        </w:rPr>
      </w:pPr>
      <w:r>
        <w:rPr>
          <w:rFonts w:hint="eastAsia" w:ascii="宋体" w:hAnsi="宋体"/>
          <w:kern w:val="0"/>
        </w:rPr>
        <w:t>GB 5749  生活饮用水卫生标准</w:t>
      </w:r>
    </w:p>
    <w:p w14:paraId="650FC230">
      <w:pPr>
        <w:widowControl/>
        <w:autoSpaceDE w:val="0"/>
        <w:autoSpaceDN w:val="0"/>
        <w:spacing w:line="240" w:lineRule="auto"/>
        <w:ind w:firstLine="420" w:firstLineChars="200"/>
        <w:jc w:val="both"/>
        <w:rPr>
          <w:rFonts w:hint="eastAsia" w:ascii="宋体" w:hAnsi="宋体"/>
          <w:kern w:val="0"/>
        </w:rPr>
      </w:pPr>
      <w:r>
        <w:rPr>
          <w:rFonts w:hint="eastAsia" w:ascii="宋体" w:hAnsi="宋体"/>
          <w:kern w:val="0"/>
        </w:rPr>
        <w:t>GB/T 7932  气动对系统及其元件的一般规则和安全要求</w:t>
      </w:r>
    </w:p>
    <w:p w14:paraId="28998FFE">
      <w:pPr>
        <w:widowControl/>
        <w:autoSpaceDE w:val="0"/>
        <w:autoSpaceDN w:val="0"/>
        <w:spacing w:line="240" w:lineRule="auto"/>
        <w:ind w:firstLine="420" w:firstLineChars="200"/>
        <w:jc w:val="both"/>
        <w:rPr>
          <w:rFonts w:hint="eastAsia" w:ascii="宋体" w:hAnsi="宋体"/>
          <w:kern w:val="0"/>
        </w:rPr>
      </w:pPr>
      <w:r>
        <w:rPr>
          <w:rFonts w:hint="eastAsia" w:ascii="宋体" w:hAnsi="宋体"/>
          <w:kern w:val="0"/>
        </w:rPr>
        <w:t>GB/T 8196  机械安全　防护装置　固定式和活动式防护装置的设计与制造一般要求</w:t>
      </w:r>
    </w:p>
    <w:p w14:paraId="2635D3F9">
      <w:pPr>
        <w:widowControl/>
        <w:autoSpaceDE w:val="0"/>
        <w:autoSpaceDN w:val="0"/>
        <w:spacing w:line="240" w:lineRule="auto"/>
        <w:ind w:firstLine="420" w:firstLineChars="200"/>
        <w:jc w:val="both"/>
        <w:rPr>
          <w:rFonts w:hint="eastAsia" w:ascii="宋体" w:hAnsi="宋体"/>
          <w:kern w:val="0"/>
        </w:rPr>
      </w:pPr>
      <w:r>
        <w:rPr>
          <w:rFonts w:hint="eastAsia" w:ascii="宋体" w:hAnsi="宋体"/>
          <w:kern w:val="0"/>
        </w:rPr>
        <w:t>GB/T 13306  标牌</w:t>
      </w:r>
    </w:p>
    <w:p w14:paraId="7A11C2FB">
      <w:pPr>
        <w:widowControl/>
        <w:autoSpaceDE w:val="0"/>
        <w:autoSpaceDN w:val="0"/>
        <w:spacing w:line="240" w:lineRule="auto"/>
        <w:ind w:firstLine="420" w:firstLineChars="200"/>
        <w:jc w:val="both"/>
        <w:rPr>
          <w:rFonts w:hint="eastAsia" w:ascii="宋体" w:hAnsi="宋体"/>
          <w:kern w:val="0"/>
        </w:rPr>
      </w:pPr>
      <w:r>
        <w:rPr>
          <w:rFonts w:hint="eastAsia" w:ascii="宋体" w:hAnsi="宋体"/>
          <w:kern w:val="0"/>
        </w:rPr>
        <w:t>GB/T 13384  机电产品包装通用技术条件</w:t>
      </w:r>
    </w:p>
    <w:p w14:paraId="097CB4FF">
      <w:pPr>
        <w:widowControl/>
        <w:autoSpaceDE w:val="0"/>
        <w:autoSpaceDN w:val="0"/>
        <w:spacing w:line="240" w:lineRule="auto"/>
        <w:ind w:firstLine="420" w:firstLineChars="200"/>
        <w:jc w:val="both"/>
        <w:rPr>
          <w:rFonts w:hint="eastAsia" w:ascii="宋体" w:hAnsi="宋体"/>
          <w:kern w:val="0"/>
        </w:rPr>
      </w:pPr>
      <w:r>
        <w:rPr>
          <w:rFonts w:hint="eastAsia" w:ascii="宋体" w:hAnsi="宋体"/>
          <w:kern w:val="0"/>
        </w:rPr>
        <w:t>GB/T 14253  轻工机械通用技术条件</w:t>
      </w:r>
    </w:p>
    <w:p w14:paraId="16721AFC">
      <w:pPr>
        <w:widowControl/>
        <w:autoSpaceDE w:val="0"/>
        <w:autoSpaceDN w:val="0"/>
        <w:spacing w:line="240" w:lineRule="auto"/>
        <w:ind w:firstLine="420" w:firstLineChars="200"/>
        <w:jc w:val="both"/>
        <w:rPr>
          <w:rFonts w:hint="eastAsia" w:ascii="宋体" w:hAnsi="宋体"/>
          <w:kern w:val="0"/>
        </w:rPr>
      </w:pPr>
      <w:r>
        <w:rPr>
          <w:rFonts w:hint="eastAsia" w:ascii="宋体" w:hAnsi="宋体"/>
          <w:kern w:val="0"/>
        </w:rPr>
        <w:t>GB 15179  食品机械润滑脂</w:t>
      </w:r>
    </w:p>
    <w:p w14:paraId="5C10B515">
      <w:pPr>
        <w:widowControl/>
        <w:autoSpaceDE w:val="0"/>
        <w:autoSpaceDN w:val="0"/>
        <w:spacing w:line="240" w:lineRule="auto"/>
        <w:ind w:firstLine="420" w:firstLineChars="200"/>
        <w:jc w:val="both"/>
        <w:rPr>
          <w:rFonts w:hint="eastAsia" w:ascii="宋体" w:hAnsi="宋体"/>
          <w:kern w:val="0"/>
        </w:rPr>
      </w:pPr>
      <w:r>
        <w:rPr>
          <w:rFonts w:ascii="宋体" w:hAnsi="宋体"/>
          <w:color w:val="000000" w:themeColor="text1"/>
          <w:kern w:val="0"/>
          <w14:textFill>
            <w14:solidFill>
              <w14:schemeClr w14:val="tx1"/>
            </w14:solidFill>
          </w14:textFill>
        </w:rPr>
        <w:t xml:space="preserve">GB/T 15706  机械安全 </w:t>
      </w:r>
      <w:r>
        <w:rPr>
          <w:rFonts w:hint="eastAsia" w:ascii="宋体" w:hAnsi="宋体"/>
          <w:color w:val="000000" w:themeColor="text1"/>
          <w:kern w:val="0"/>
          <w14:textFill>
            <w14:solidFill>
              <w14:schemeClr w14:val="tx1"/>
            </w14:solidFill>
          </w14:textFill>
        </w:rPr>
        <w:t xml:space="preserve"> </w:t>
      </w:r>
      <w:r>
        <w:rPr>
          <w:rFonts w:ascii="宋体" w:hAnsi="宋体"/>
          <w:color w:val="000000" w:themeColor="text1"/>
          <w:kern w:val="0"/>
          <w14:textFill>
            <w14:solidFill>
              <w14:schemeClr w14:val="tx1"/>
            </w14:solidFill>
          </w14:textFill>
        </w:rPr>
        <w:t xml:space="preserve">设计通则 </w:t>
      </w:r>
      <w:r>
        <w:rPr>
          <w:rFonts w:hint="eastAsia" w:ascii="宋体" w:hAnsi="宋体"/>
          <w:color w:val="000000" w:themeColor="text1"/>
          <w:kern w:val="0"/>
          <w14:textFill>
            <w14:solidFill>
              <w14:schemeClr w14:val="tx1"/>
            </w14:solidFill>
          </w14:textFill>
        </w:rPr>
        <w:t xml:space="preserve"> </w:t>
      </w:r>
      <w:r>
        <w:rPr>
          <w:rFonts w:ascii="宋体" w:hAnsi="宋体"/>
          <w:color w:val="000000" w:themeColor="text1"/>
          <w:kern w:val="0"/>
          <w14:textFill>
            <w14:solidFill>
              <w14:schemeClr w14:val="tx1"/>
            </w14:solidFill>
          </w14:textFill>
        </w:rPr>
        <w:t>风险评估与风险减小</w:t>
      </w:r>
    </w:p>
    <w:p w14:paraId="3281FC81">
      <w:pPr>
        <w:widowControl/>
        <w:autoSpaceDE w:val="0"/>
        <w:autoSpaceDN w:val="0"/>
        <w:spacing w:line="240" w:lineRule="auto"/>
        <w:ind w:firstLine="420" w:firstLineChars="200"/>
        <w:jc w:val="both"/>
        <w:rPr>
          <w:rFonts w:hint="eastAsia" w:ascii="宋体" w:hAnsi="宋体"/>
          <w:kern w:val="0"/>
        </w:rPr>
      </w:pPr>
      <w:r>
        <w:rPr>
          <w:rFonts w:hint="eastAsia" w:ascii="宋体" w:hAnsi="宋体"/>
          <w:kern w:val="0"/>
        </w:rPr>
        <w:t>GB 16798  食品机械安全卫生</w:t>
      </w:r>
    </w:p>
    <w:p w14:paraId="3FC0BB3A">
      <w:pPr>
        <w:widowControl/>
        <w:autoSpaceDE w:val="0"/>
        <w:autoSpaceDN w:val="0"/>
        <w:spacing w:line="240" w:lineRule="auto"/>
        <w:ind w:firstLine="420" w:firstLineChars="200"/>
        <w:jc w:val="both"/>
        <w:rPr>
          <w:rFonts w:hint="eastAsia" w:ascii="宋体" w:hAnsi="宋体"/>
          <w:kern w:val="0"/>
        </w:rPr>
      </w:pPr>
      <w:r>
        <w:rPr>
          <w:rFonts w:hint="eastAsia" w:ascii="宋体" w:hAnsi="宋体"/>
          <w:kern w:val="0"/>
        </w:rPr>
        <w:t>GB 17167  用能单位能源计量器具配备与管理通则</w:t>
      </w:r>
    </w:p>
    <w:p w14:paraId="5FDB7C28">
      <w:pPr>
        <w:widowControl/>
        <w:autoSpaceDE w:val="0"/>
        <w:autoSpaceDN w:val="0"/>
        <w:spacing w:line="240" w:lineRule="auto"/>
        <w:ind w:firstLine="420" w:firstLineChars="200"/>
        <w:jc w:val="both"/>
        <w:rPr>
          <w:rFonts w:hint="eastAsia" w:ascii="宋体" w:hAnsi="宋体"/>
          <w:kern w:val="0"/>
        </w:rPr>
      </w:pPr>
      <w:r>
        <w:rPr>
          <w:rFonts w:hint="eastAsia" w:ascii="宋体" w:hAnsi="宋体"/>
          <w:kern w:val="0"/>
        </w:rPr>
        <w:t>GB/T 19891  机械安全  机械设计的卫生要求</w:t>
      </w:r>
    </w:p>
    <w:p w14:paraId="0236ED71">
      <w:pPr>
        <w:widowControl/>
        <w:autoSpaceDE w:val="0"/>
        <w:autoSpaceDN w:val="0"/>
        <w:spacing w:line="240" w:lineRule="auto"/>
        <w:ind w:firstLine="420" w:firstLineChars="200"/>
        <w:jc w:val="both"/>
        <w:rPr>
          <w:rFonts w:hint="eastAsia" w:ascii="宋体" w:hAnsi="宋体"/>
          <w:kern w:val="0"/>
        </w:rPr>
      </w:pPr>
      <w:r>
        <w:rPr>
          <w:rFonts w:hint="eastAsia" w:ascii="宋体" w:hAnsi="宋体"/>
          <w:kern w:val="0"/>
        </w:rPr>
        <w:t>GB/T 20801.1  压力管道规范工业管道  第1部分：总则</w:t>
      </w:r>
    </w:p>
    <w:p w14:paraId="103FB28A">
      <w:pPr>
        <w:widowControl/>
        <w:autoSpaceDE w:val="0"/>
        <w:autoSpaceDN w:val="0"/>
        <w:spacing w:line="240" w:lineRule="auto"/>
        <w:ind w:firstLine="420" w:firstLineChars="200"/>
        <w:jc w:val="both"/>
        <w:rPr>
          <w:rFonts w:hint="eastAsia" w:ascii="宋体" w:hAnsi="宋体"/>
          <w:kern w:val="0"/>
        </w:rPr>
      </w:pPr>
      <w:r>
        <w:rPr>
          <w:rFonts w:hint="eastAsia" w:ascii="宋体" w:hAnsi="宋体"/>
          <w:kern w:val="0"/>
        </w:rPr>
        <w:t>GB/T 20801.5  压力管道规范工业管道  第5部分：检验与试验</w:t>
      </w:r>
    </w:p>
    <w:p w14:paraId="0108E8FF">
      <w:pPr>
        <w:widowControl/>
        <w:autoSpaceDE w:val="0"/>
        <w:autoSpaceDN w:val="0"/>
        <w:spacing w:line="240" w:lineRule="auto"/>
        <w:ind w:firstLine="420" w:firstLineChars="200"/>
        <w:jc w:val="both"/>
        <w:rPr>
          <w:rFonts w:hint="eastAsia" w:ascii="宋体" w:hAnsi="宋体"/>
          <w:kern w:val="0"/>
        </w:rPr>
      </w:pPr>
      <w:r>
        <w:rPr>
          <w:rFonts w:hint="eastAsia" w:ascii="宋体" w:hAnsi="宋体"/>
          <w:kern w:val="0"/>
        </w:rPr>
        <w:t>SB/T 223  食品机械通用技术条件  机械加工技术要求</w:t>
      </w:r>
    </w:p>
    <w:p w14:paraId="4DDF3D34">
      <w:pPr>
        <w:widowControl/>
        <w:autoSpaceDE w:val="0"/>
        <w:autoSpaceDN w:val="0"/>
        <w:spacing w:line="240" w:lineRule="auto"/>
        <w:ind w:firstLine="420" w:firstLineChars="200"/>
        <w:jc w:val="both"/>
        <w:rPr>
          <w:rFonts w:hint="eastAsia" w:ascii="宋体" w:hAnsi="宋体"/>
          <w:kern w:val="0"/>
        </w:rPr>
      </w:pPr>
      <w:r>
        <w:rPr>
          <w:rFonts w:hint="eastAsia" w:ascii="宋体" w:hAnsi="宋体"/>
          <w:kern w:val="0"/>
        </w:rPr>
        <w:t>SB/T 224  食品机械通用技术条件  装配技术要求</w:t>
      </w:r>
    </w:p>
    <w:p w14:paraId="5078C2DE">
      <w:pPr>
        <w:widowControl/>
        <w:autoSpaceDE w:val="0"/>
        <w:autoSpaceDN w:val="0"/>
        <w:spacing w:line="240" w:lineRule="auto"/>
        <w:ind w:firstLine="420" w:firstLineChars="200"/>
        <w:jc w:val="both"/>
        <w:rPr>
          <w:rFonts w:hint="eastAsia" w:ascii="宋体" w:hAnsi="宋体"/>
          <w:kern w:val="0"/>
        </w:rPr>
      </w:pPr>
      <w:r>
        <w:rPr>
          <w:rFonts w:hint="eastAsia" w:ascii="宋体" w:hAnsi="宋体"/>
          <w:kern w:val="0"/>
        </w:rPr>
        <w:t>SB/T 225</w:t>
      </w:r>
      <w:r>
        <w:rPr>
          <w:rFonts w:ascii="宋体" w:hAnsi="宋体"/>
          <w:kern w:val="0"/>
        </w:rPr>
        <w:t xml:space="preserve">  食品机械通用技术条件</w:t>
      </w:r>
      <w:r>
        <w:rPr>
          <w:rFonts w:hint="eastAsia" w:ascii="宋体" w:hAnsi="宋体"/>
          <w:kern w:val="0"/>
        </w:rPr>
        <w:t xml:space="preserve">  铸件技术要求</w:t>
      </w:r>
    </w:p>
    <w:p w14:paraId="083BC112">
      <w:pPr>
        <w:widowControl/>
        <w:autoSpaceDE w:val="0"/>
        <w:autoSpaceDN w:val="0"/>
        <w:spacing w:line="240" w:lineRule="auto"/>
        <w:ind w:firstLine="420" w:firstLineChars="200"/>
        <w:jc w:val="both"/>
        <w:rPr>
          <w:rFonts w:hint="eastAsia" w:ascii="宋体" w:hAnsi="宋体"/>
          <w:kern w:val="0"/>
        </w:rPr>
      </w:pPr>
      <w:r>
        <w:rPr>
          <w:rFonts w:hint="eastAsia" w:ascii="宋体" w:hAnsi="宋体"/>
          <w:kern w:val="0"/>
        </w:rPr>
        <w:t>SB/T 226  食品机械通用技术条件  焊接、铆接件技术要求</w:t>
      </w:r>
    </w:p>
    <w:p w14:paraId="06F64DFF">
      <w:pPr>
        <w:widowControl/>
        <w:autoSpaceDE w:val="0"/>
        <w:autoSpaceDN w:val="0"/>
        <w:spacing w:line="240" w:lineRule="auto"/>
        <w:ind w:firstLine="420" w:firstLineChars="200"/>
        <w:jc w:val="both"/>
        <w:rPr>
          <w:rFonts w:hint="eastAsia" w:ascii="宋体" w:hAnsi="宋体"/>
          <w:kern w:val="0"/>
        </w:rPr>
      </w:pPr>
      <w:r>
        <w:rPr>
          <w:rFonts w:ascii="宋体" w:hAnsi="宋体"/>
          <w:kern w:val="0"/>
        </w:rPr>
        <w:t xml:space="preserve">SB/T 228  </w:t>
      </w:r>
      <w:r>
        <w:rPr>
          <w:rFonts w:hint="eastAsia" w:ascii="宋体" w:hAnsi="宋体"/>
          <w:kern w:val="0"/>
        </w:rPr>
        <w:t>食品机械通用技术条件</w:t>
      </w:r>
      <w:r>
        <w:rPr>
          <w:rFonts w:ascii="宋体" w:hAnsi="宋体"/>
          <w:kern w:val="0"/>
        </w:rPr>
        <w:t xml:space="preserve"> </w:t>
      </w:r>
      <w:r>
        <w:rPr>
          <w:rFonts w:hint="eastAsia" w:ascii="宋体" w:hAnsi="宋体"/>
          <w:kern w:val="0"/>
        </w:rPr>
        <w:t xml:space="preserve"> 表面涂漆</w:t>
      </w:r>
    </w:p>
    <w:p w14:paraId="776A91EC">
      <w:pPr>
        <w:widowControl/>
        <w:autoSpaceDE w:val="0"/>
        <w:autoSpaceDN w:val="0"/>
        <w:spacing w:line="240" w:lineRule="auto"/>
        <w:ind w:firstLine="420" w:firstLineChars="200"/>
        <w:jc w:val="both"/>
        <w:rPr>
          <w:rFonts w:hint="eastAsia" w:ascii="宋体" w:hAnsi="宋体"/>
          <w:kern w:val="0"/>
        </w:rPr>
      </w:pPr>
      <w:r>
        <w:rPr>
          <w:rFonts w:hint="eastAsia" w:ascii="宋体" w:hAnsi="宋体"/>
          <w:kern w:val="0"/>
        </w:rPr>
        <w:t>SB/T 229  食品机械通用技术条件  产品包装技术要求</w:t>
      </w:r>
    </w:p>
    <w:p w14:paraId="47E7AF55">
      <w:pPr>
        <w:pStyle w:val="268"/>
        <w:numPr>
          <w:ilvl w:val="1"/>
          <w:numId w:val="35"/>
        </w:numPr>
        <w:spacing w:before="240" w:after="240" w:line="240" w:lineRule="auto"/>
        <w:jc w:val="both"/>
        <w:rPr>
          <w:rFonts w:hint="eastAsia"/>
        </w:rPr>
      </w:pPr>
      <w:bookmarkStart w:id="114" w:name="_Toc6226"/>
      <w:bookmarkStart w:id="115" w:name="_Toc208854174"/>
      <w:bookmarkStart w:id="116" w:name="_Toc17774"/>
      <w:bookmarkStart w:id="117" w:name="_Toc10023"/>
      <w:bookmarkStart w:id="118" w:name="_Toc5682"/>
      <w:bookmarkStart w:id="119" w:name="_Toc196411773"/>
      <w:bookmarkStart w:id="120" w:name="_Toc17342"/>
      <w:bookmarkStart w:id="121" w:name="_Toc27587"/>
      <w:bookmarkStart w:id="122" w:name="_Toc104469565"/>
      <w:bookmarkStart w:id="123" w:name="_Toc103873480"/>
      <w:r>
        <w:rPr>
          <w:rFonts w:hint="eastAsia"/>
        </w:rPr>
        <w:t>术语和定义</w:t>
      </w:r>
      <w:bookmarkEnd w:id="114"/>
      <w:bookmarkEnd w:id="115"/>
      <w:bookmarkEnd w:id="116"/>
      <w:bookmarkEnd w:id="117"/>
      <w:bookmarkEnd w:id="118"/>
      <w:bookmarkEnd w:id="119"/>
      <w:bookmarkEnd w:id="120"/>
      <w:bookmarkEnd w:id="121"/>
      <w:bookmarkEnd w:id="122"/>
      <w:bookmarkEnd w:id="123"/>
    </w:p>
    <w:bookmarkEnd w:id="105"/>
    <w:bookmarkEnd w:id="106"/>
    <w:bookmarkEnd w:id="107"/>
    <w:bookmarkEnd w:id="108"/>
    <w:bookmarkEnd w:id="109"/>
    <w:bookmarkEnd w:id="110"/>
    <w:bookmarkEnd w:id="111"/>
    <w:bookmarkEnd w:id="112"/>
    <w:bookmarkEnd w:id="113"/>
    <w:p w14:paraId="1E3E22E7">
      <w:pPr>
        <w:widowControl/>
        <w:adjustRightInd/>
        <w:spacing w:line="240" w:lineRule="auto"/>
        <w:ind w:firstLine="420" w:firstLineChars="200"/>
        <w:jc w:val="both"/>
        <w:rPr>
          <w:rFonts w:ascii="Times New Roman" w:hAnsi="Times New Roman"/>
        </w:rPr>
      </w:pPr>
      <w:bookmarkStart w:id="124" w:name="_Toc49432302"/>
      <w:bookmarkEnd w:id="124"/>
      <w:bookmarkStart w:id="125" w:name="_Toc26986532"/>
      <w:bookmarkEnd w:id="125"/>
      <w:bookmarkStart w:id="126" w:name="_Toc21110880"/>
      <w:bookmarkEnd w:id="126"/>
      <w:bookmarkStart w:id="127" w:name="_Toc45618140"/>
      <w:bookmarkEnd w:id="127"/>
      <w:bookmarkStart w:id="128" w:name="_Toc103784691"/>
      <w:bookmarkEnd w:id="128"/>
      <w:bookmarkStart w:id="129" w:name="_Toc103873479"/>
      <w:bookmarkEnd w:id="129"/>
      <w:bookmarkStart w:id="130" w:name="_Toc103786075"/>
      <w:bookmarkEnd w:id="130"/>
      <w:bookmarkStart w:id="131" w:name="_Toc45616729"/>
      <w:bookmarkEnd w:id="131"/>
      <w:bookmarkStart w:id="132" w:name="_Toc22888883"/>
      <w:bookmarkEnd w:id="132"/>
      <w:bookmarkStart w:id="133" w:name="_Toc45808119"/>
      <w:bookmarkEnd w:id="133"/>
      <w:bookmarkStart w:id="134" w:name="_Toc49171817"/>
      <w:bookmarkEnd w:id="134"/>
      <w:r>
        <w:rPr>
          <w:rFonts w:hint="eastAsia" w:ascii="Times New Roman" w:hAnsi="Times New Roman"/>
        </w:rPr>
        <w:t>下列术语和定义适用于本文件。</w:t>
      </w:r>
    </w:p>
    <w:p w14:paraId="50CDB549">
      <w:pPr>
        <w:pStyle w:val="114"/>
        <w:numPr>
          <w:ilvl w:val="2"/>
          <w:numId w:val="35"/>
        </w:numPr>
        <w:spacing w:before="120" w:after="120"/>
      </w:pPr>
      <w:bookmarkStart w:id="135" w:name="_Toc120107384"/>
      <w:bookmarkEnd w:id="135"/>
      <w:bookmarkStart w:id="136" w:name="_Toc107129073"/>
      <w:bookmarkEnd w:id="136"/>
      <w:bookmarkStart w:id="137" w:name="_Toc31904"/>
      <w:bookmarkEnd w:id="137"/>
      <w:bookmarkStart w:id="138" w:name="_Toc7160"/>
      <w:bookmarkEnd w:id="138"/>
      <w:bookmarkStart w:id="139" w:name="_Toc22745"/>
      <w:bookmarkEnd w:id="139"/>
      <w:bookmarkStart w:id="140" w:name="_Toc5323"/>
      <w:bookmarkEnd w:id="140"/>
      <w:bookmarkStart w:id="141" w:name="_Toc21274"/>
      <w:bookmarkEnd w:id="141"/>
      <w:bookmarkStart w:id="142" w:name="_Toc85527746"/>
      <w:bookmarkEnd w:id="142"/>
      <w:bookmarkStart w:id="143" w:name="_Toc17671"/>
      <w:bookmarkEnd w:id="143"/>
      <w:bookmarkStart w:id="144" w:name="_Toc20881"/>
      <w:bookmarkEnd w:id="144"/>
      <w:bookmarkStart w:id="145" w:name="_Toc76532515"/>
      <w:bookmarkEnd w:id="145"/>
      <w:bookmarkStart w:id="146" w:name="_Toc76902197"/>
      <w:bookmarkEnd w:id="146"/>
      <w:bookmarkStart w:id="147" w:name="_Toc3789"/>
      <w:bookmarkEnd w:id="147"/>
      <w:bookmarkStart w:id="148" w:name="_Toc8362"/>
      <w:bookmarkEnd w:id="148"/>
      <w:bookmarkStart w:id="149" w:name="_Toc29855"/>
      <w:bookmarkEnd w:id="149"/>
      <w:bookmarkStart w:id="150" w:name="_Toc103873481"/>
      <w:bookmarkEnd w:id="150"/>
      <w:bookmarkStart w:id="151" w:name="_Toc204068441"/>
      <w:bookmarkEnd w:id="151"/>
      <w:bookmarkStart w:id="152" w:name="_Toc88368337"/>
      <w:bookmarkEnd w:id="152"/>
      <w:bookmarkStart w:id="153" w:name="_Toc16806"/>
      <w:bookmarkEnd w:id="153"/>
      <w:bookmarkStart w:id="154" w:name="_Toc77186038"/>
      <w:bookmarkEnd w:id="154"/>
      <w:bookmarkStart w:id="155" w:name="_Toc93873936"/>
      <w:bookmarkEnd w:id="155"/>
      <w:bookmarkStart w:id="156" w:name="_Toc94259928"/>
      <w:bookmarkEnd w:id="156"/>
      <w:bookmarkStart w:id="157" w:name="_Toc8098"/>
      <w:bookmarkEnd w:id="157"/>
      <w:bookmarkStart w:id="158" w:name="_Toc76532382"/>
      <w:bookmarkEnd w:id="158"/>
      <w:bookmarkStart w:id="159" w:name="_Toc204448555"/>
      <w:bookmarkEnd w:id="159"/>
      <w:bookmarkStart w:id="160" w:name="_Toc196411775"/>
      <w:bookmarkEnd w:id="160"/>
      <w:bookmarkStart w:id="161" w:name="_Toc15357"/>
      <w:bookmarkEnd w:id="161"/>
      <w:bookmarkStart w:id="162" w:name="_Toc114578763"/>
      <w:bookmarkEnd w:id="162"/>
      <w:bookmarkStart w:id="163" w:name="_Toc12990"/>
      <w:bookmarkEnd w:id="163"/>
      <w:bookmarkStart w:id="164" w:name="_Toc208854175"/>
      <w:bookmarkEnd w:id="164"/>
      <w:bookmarkStart w:id="165" w:name="_Toc103786125"/>
      <w:bookmarkEnd w:id="165"/>
      <w:bookmarkStart w:id="166" w:name="_Toc87782501"/>
      <w:bookmarkEnd w:id="166"/>
      <w:bookmarkStart w:id="167" w:name="_Toc196411774"/>
      <w:bookmarkEnd w:id="167"/>
      <w:bookmarkStart w:id="168" w:name="_Toc109500885"/>
      <w:bookmarkEnd w:id="168"/>
      <w:bookmarkStart w:id="169" w:name="_Toc7538"/>
      <w:bookmarkEnd w:id="169"/>
      <w:bookmarkStart w:id="170" w:name="_Toc114578712"/>
      <w:bookmarkEnd w:id="170"/>
      <w:bookmarkStart w:id="171" w:name="_Toc108883470"/>
      <w:bookmarkEnd w:id="171"/>
      <w:bookmarkStart w:id="172" w:name="_Toc103786077"/>
      <w:bookmarkEnd w:id="172"/>
      <w:bookmarkStart w:id="173" w:name="_Toc103784693"/>
      <w:bookmarkEnd w:id="173"/>
      <w:bookmarkStart w:id="174" w:name="_Toc114578713"/>
      <w:bookmarkStart w:id="175" w:name="OLE_LINK6"/>
      <w:bookmarkStart w:id="176" w:name="_Toc120107385"/>
      <w:bookmarkStart w:id="177" w:name="_Toc109500886"/>
      <w:bookmarkStart w:id="178" w:name="_Toc107129074"/>
      <w:bookmarkStart w:id="179" w:name="_Toc108883471"/>
      <w:bookmarkStart w:id="180" w:name="_Toc103873482"/>
      <w:bookmarkStart w:id="181" w:name="_Toc114578764"/>
    </w:p>
    <w:bookmarkEnd w:id="174"/>
    <w:bookmarkEnd w:id="175"/>
    <w:bookmarkEnd w:id="176"/>
    <w:bookmarkEnd w:id="177"/>
    <w:bookmarkEnd w:id="178"/>
    <w:bookmarkEnd w:id="179"/>
    <w:bookmarkEnd w:id="180"/>
    <w:bookmarkEnd w:id="181"/>
    <w:p w14:paraId="7EB0824A">
      <w:pPr>
        <w:pStyle w:val="65"/>
        <w:autoSpaceDE/>
        <w:autoSpaceDN/>
        <w:ind w:firstLine="420"/>
        <w:rPr>
          <w:rFonts w:hint="eastAsia" w:ascii="黑体" w:hAnsi="黑体" w:eastAsia="黑体"/>
        </w:rPr>
      </w:pPr>
      <w:bookmarkStart w:id="182" w:name="_Toc27552"/>
      <w:bookmarkEnd w:id="182"/>
      <w:bookmarkStart w:id="183" w:name="_Toc25147"/>
      <w:bookmarkEnd w:id="183"/>
      <w:bookmarkStart w:id="184" w:name="_Toc204068442"/>
      <w:bookmarkEnd w:id="184"/>
      <w:bookmarkStart w:id="185" w:name="_Toc539"/>
      <w:bookmarkEnd w:id="185"/>
      <w:bookmarkStart w:id="186" w:name="_Toc16878"/>
      <w:bookmarkEnd w:id="186"/>
      <w:bookmarkStart w:id="187" w:name="_Toc23491"/>
      <w:bookmarkEnd w:id="187"/>
      <w:bookmarkStart w:id="188" w:name="_Toc32098"/>
      <w:bookmarkEnd w:id="188"/>
      <w:bookmarkStart w:id="189" w:name="_Toc204448556"/>
      <w:bookmarkEnd w:id="189"/>
      <w:bookmarkStart w:id="190" w:name="_Toc12806"/>
      <w:bookmarkEnd w:id="190"/>
      <w:bookmarkStart w:id="191" w:name="_Toc25617"/>
      <w:bookmarkEnd w:id="191"/>
      <w:bookmarkStart w:id="192" w:name="_Toc7315"/>
      <w:bookmarkEnd w:id="192"/>
      <w:bookmarkStart w:id="193" w:name="_Hlk77148234"/>
      <w:r>
        <w:rPr>
          <w:rFonts w:hint="eastAsia" w:ascii="黑体" w:hAnsi="黑体" w:eastAsia="黑体"/>
        </w:rPr>
        <w:t>谷类</w:t>
      </w:r>
      <w:r>
        <w:rPr>
          <w:rFonts w:ascii="黑体" w:hAnsi="黑体" w:eastAsia="黑体"/>
          <w:color w:val="000000" w:themeColor="text1"/>
          <w14:textFill>
            <w14:solidFill>
              <w14:schemeClr w14:val="tx1"/>
            </w14:solidFill>
          </w14:textFill>
        </w:rPr>
        <w:t xml:space="preserve">  </w:t>
      </w:r>
      <w:bookmarkStart w:id="194" w:name="_Hlk88373736"/>
      <w:r>
        <w:rPr>
          <w:rFonts w:hint="eastAsia" w:ascii="黑体" w:hAnsi="黑体" w:eastAsia="黑体"/>
        </w:rPr>
        <w:t>cereal</w:t>
      </w:r>
      <w:bookmarkEnd w:id="194"/>
      <w:r>
        <w:rPr>
          <w:rFonts w:hint="eastAsia" w:ascii="黑体" w:hAnsi="黑体" w:eastAsia="黑体"/>
        </w:rPr>
        <w:t>s</w:t>
      </w:r>
    </w:p>
    <w:p w14:paraId="548349BE">
      <w:pPr>
        <w:pStyle w:val="65"/>
        <w:autoSpaceDE/>
        <w:autoSpaceDN/>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适用于本标准的禾谷类和豆菽类两类谷物。</w:t>
      </w:r>
    </w:p>
    <w:p w14:paraId="4BB0D76A">
      <w:pPr>
        <w:widowControl/>
        <w:autoSpaceDE w:val="0"/>
        <w:adjustRightInd/>
        <w:spacing w:line="240" w:lineRule="auto"/>
        <w:ind w:firstLine="360" w:firstLineChars="200"/>
        <w:rPr>
          <w:rFonts w:hint="eastAsia" w:ascii="宋体" w:hAnsi="宋体" w:cs="宋体"/>
          <w:color w:val="000000"/>
          <w:kern w:val="0"/>
          <w:sz w:val="18"/>
          <w:szCs w:val="18"/>
        </w:rPr>
      </w:pPr>
      <w:r>
        <w:rPr>
          <w:rFonts w:hint="eastAsia" w:ascii="黑体" w:hAnsi="黑体" w:eastAsia="黑体" w:cs="黑体"/>
          <w:color w:val="000000"/>
          <w:kern w:val="0"/>
          <w:sz w:val="18"/>
          <w:szCs w:val="18"/>
        </w:rPr>
        <w:t>注1：</w:t>
      </w:r>
      <w:r>
        <w:rPr>
          <w:rFonts w:hint="eastAsia" w:ascii="宋体" w:hAnsi="宋体" w:cs="宋体"/>
          <w:color w:val="000000"/>
          <w:kern w:val="0"/>
          <w:sz w:val="18"/>
          <w:szCs w:val="18"/>
        </w:rPr>
        <w:t>禾谷类谷物包括稻类（籼稻、粳稻、糥稻）、麦类（小麦、大麦、燕麦、黑麦）、玉米、高粱、粟（小黄米）、黍（大黄米）、荞麦等。</w:t>
      </w:r>
    </w:p>
    <w:p w14:paraId="5A44CBBB">
      <w:pPr>
        <w:widowControl/>
        <w:autoSpaceDE w:val="0"/>
        <w:adjustRightInd/>
        <w:spacing w:line="240" w:lineRule="auto"/>
        <w:ind w:firstLine="360" w:firstLineChars="200"/>
        <w:rPr>
          <w:rFonts w:hint="eastAsia" w:ascii="宋体" w:hAnsi="宋体" w:cs="宋体"/>
          <w:color w:val="000000"/>
          <w:kern w:val="0"/>
          <w:sz w:val="18"/>
          <w:szCs w:val="18"/>
        </w:rPr>
      </w:pPr>
      <w:r>
        <w:rPr>
          <w:rFonts w:hint="eastAsia" w:ascii="黑体" w:hAnsi="黑体" w:eastAsia="黑体" w:cs="黑体"/>
          <w:color w:val="000000"/>
          <w:kern w:val="0"/>
          <w:sz w:val="18"/>
          <w:szCs w:val="18"/>
        </w:rPr>
        <w:t>注2：</w:t>
      </w:r>
      <w:r>
        <w:rPr>
          <w:rFonts w:hint="eastAsia" w:ascii="宋体" w:hAnsi="宋体" w:cs="宋体"/>
          <w:color w:val="000000"/>
          <w:kern w:val="0"/>
          <w:sz w:val="18"/>
          <w:szCs w:val="18"/>
        </w:rPr>
        <w:t>豆菽类谷物包括大豆、蚕豆、豌豆、绿豆、红小豆、芸豆等。</w:t>
      </w:r>
    </w:p>
    <w:p w14:paraId="1C48B70D">
      <w:pPr>
        <w:pStyle w:val="114"/>
        <w:numPr>
          <w:ilvl w:val="2"/>
          <w:numId w:val="35"/>
        </w:numPr>
        <w:spacing w:before="120" w:after="120"/>
        <w:rPr>
          <w:rFonts w:ascii="Times New Roman"/>
          <w:b/>
        </w:rPr>
      </w:pPr>
      <w:bookmarkStart w:id="195" w:name="_Toc14503"/>
      <w:bookmarkEnd w:id="195"/>
      <w:bookmarkStart w:id="196" w:name="_Toc27840"/>
      <w:bookmarkEnd w:id="196"/>
      <w:bookmarkStart w:id="197" w:name="_Toc208854176"/>
      <w:bookmarkEnd w:id="197"/>
      <w:bookmarkStart w:id="198" w:name="_Toc11331"/>
      <w:bookmarkEnd w:id="198"/>
      <w:bookmarkStart w:id="199" w:name="_Toc12992"/>
      <w:bookmarkEnd w:id="199"/>
      <w:bookmarkStart w:id="200" w:name="_Toc204448557"/>
      <w:bookmarkEnd w:id="200"/>
      <w:bookmarkStart w:id="201" w:name="_Toc16214"/>
      <w:bookmarkEnd w:id="201"/>
      <w:bookmarkStart w:id="202" w:name="_Toc26271"/>
      <w:bookmarkEnd w:id="202"/>
      <w:bookmarkStart w:id="203" w:name="_Toc204068443"/>
      <w:bookmarkEnd w:id="203"/>
      <w:bookmarkStart w:id="204" w:name="_Toc14100"/>
      <w:bookmarkEnd w:id="204"/>
      <w:bookmarkStart w:id="205" w:name="_Toc17911"/>
      <w:bookmarkEnd w:id="205"/>
      <w:bookmarkStart w:id="206" w:name="_Toc30657"/>
      <w:bookmarkEnd w:id="206"/>
      <w:bookmarkStart w:id="207" w:name="_Toc947"/>
      <w:bookmarkEnd w:id="207"/>
      <w:bookmarkStart w:id="208" w:name="_Toc12073"/>
      <w:bookmarkEnd w:id="208"/>
    </w:p>
    <w:p w14:paraId="2CA339B4">
      <w:pPr>
        <w:pStyle w:val="65"/>
        <w:autoSpaceDE/>
        <w:autoSpaceDN/>
        <w:ind w:firstLine="420"/>
        <w:rPr>
          <w:rFonts w:hint="eastAsia" w:ascii="黑体" w:hAnsi="黑体" w:eastAsia="黑体"/>
        </w:rPr>
      </w:pPr>
      <w:bookmarkStart w:id="209" w:name="_Toc30197"/>
      <w:bookmarkEnd w:id="209"/>
      <w:bookmarkStart w:id="210" w:name="_Toc2814"/>
      <w:bookmarkEnd w:id="210"/>
      <w:bookmarkStart w:id="211" w:name="_Toc9510"/>
      <w:bookmarkEnd w:id="211"/>
      <w:bookmarkStart w:id="212" w:name="_Toc23853"/>
      <w:bookmarkEnd w:id="212"/>
      <w:bookmarkStart w:id="213" w:name="_Toc8745"/>
      <w:bookmarkEnd w:id="213"/>
      <w:bookmarkStart w:id="214" w:name="_Toc27380"/>
      <w:bookmarkEnd w:id="214"/>
      <w:bookmarkStart w:id="215" w:name="_Toc15018"/>
      <w:bookmarkEnd w:id="215"/>
      <w:bookmarkStart w:id="216" w:name="_Toc204068444"/>
      <w:bookmarkEnd w:id="216"/>
      <w:bookmarkStart w:id="217" w:name="_Toc204448558"/>
      <w:bookmarkEnd w:id="217"/>
      <w:bookmarkStart w:id="218" w:name="_Toc12076"/>
      <w:bookmarkEnd w:id="218"/>
      <w:bookmarkStart w:id="219" w:name="_Toc3243"/>
      <w:bookmarkEnd w:id="219"/>
      <w:bookmarkStart w:id="220" w:name="_Toc87782503"/>
      <w:bookmarkStart w:id="221" w:name="_Toc76532517"/>
      <w:bookmarkStart w:id="222" w:name="_Toc85527748"/>
      <w:bookmarkStart w:id="223" w:name="_Toc77186040"/>
      <w:bookmarkStart w:id="224" w:name="_Toc76902199"/>
      <w:bookmarkStart w:id="225" w:name="_Toc76532384"/>
      <w:r>
        <w:rPr>
          <w:rFonts w:hint="eastAsia" w:ascii="黑体" w:hAnsi="黑体" w:eastAsia="黑体"/>
        </w:rPr>
        <w:t>谷类清洗浸泡成套设备</w:t>
      </w:r>
      <w:r>
        <w:rPr>
          <w:rFonts w:ascii="黑体" w:hAnsi="黑体" w:eastAsia="黑体"/>
          <w:color w:val="000000" w:themeColor="text1"/>
          <w14:textFill>
            <w14:solidFill>
              <w14:schemeClr w14:val="tx1"/>
            </w14:solidFill>
          </w14:textFill>
        </w:rPr>
        <w:t xml:space="preserve">  </w:t>
      </w:r>
      <w:bookmarkStart w:id="226" w:name="_Hlk88373815"/>
      <w:r>
        <w:rPr>
          <w:rFonts w:hint="eastAsia" w:ascii="黑体" w:hAnsi="黑体" w:eastAsia="黑体"/>
        </w:rPr>
        <w:t>complete sets of equipment for cleaning and soaking cereals</w:t>
      </w:r>
      <w:bookmarkEnd w:id="220"/>
      <w:bookmarkEnd w:id="221"/>
      <w:bookmarkEnd w:id="222"/>
      <w:bookmarkEnd w:id="223"/>
      <w:bookmarkEnd w:id="224"/>
      <w:bookmarkEnd w:id="225"/>
      <w:bookmarkEnd w:id="226"/>
    </w:p>
    <w:p w14:paraId="0CE968EA">
      <w:pPr>
        <w:pStyle w:val="65"/>
        <w:autoSpaceDE/>
        <w:autoSpaceDN/>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以干燥谷类（3.1）为原料，经过提升、分料、清洗、浸泡等加工工序完成谷物泡发加工的一组设备。</w:t>
      </w:r>
      <w:bookmarkStart w:id="227" w:name="_Toc76532385"/>
      <w:bookmarkEnd w:id="227"/>
      <w:bookmarkStart w:id="228" w:name="_Toc85527749"/>
      <w:bookmarkEnd w:id="228"/>
      <w:bookmarkStart w:id="229" w:name="_Toc88368339"/>
      <w:bookmarkEnd w:id="229"/>
      <w:bookmarkStart w:id="230" w:name="_Toc94259930"/>
      <w:bookmarkEnd w:id="230"/>
      <w:bookmarkStart w:id="231" w:name="_Toc93873938"/>
      <w:bookmarkEnd w:id="231"/>
      <w:bookmarkStart w:id="232" w:name="_Toc87782504"/>
      <w:bookmarkEnd w:id="232"/>
      <w:bookmarkStart w:id="233" w:name="_Toc76902200"/>
      <w:bookmarkEnd w:id="233"/>
      <w:bookmarkStart w:id="234" w:name="_Toc77186041"/>
      <w:bookmarkEnd w:id="234"/>
      <w:bookmarkStart w:id="235" w:name="_Toc76532518"/>
      <w:bookmarkEnd w:id="235"/>
    </w:p>
    <w:p w14:paraId="716A8729">
      <w:pPr>
        <w:pStyle w:val="114"/>
        <w:numPr>
          <w:ilvl w:val="2"/>
          <w:numId w:val="35"/>
        </w:numPr>
        <w:spacing w:before="120" w:after="120"/>
        <w:rPr>
          <w:rFonts w:hint="eastAsia" w:hAnsi="黑体" w:cs="黑体"/>
          <w:bCs/>
          <w:kern w:val="2"/>
          <w:szCs w:val="21"/>
        </w:rPr>
      </w:pPr>
      <w:bookmarkStart w:id="236" w:name="_Toc21228"/>
      <w:bookmarkEnd w:id="236"/>
      <w:bookmarkStart w:id="237" w:name="_Toc1697"/>
      <w:bookmarkEnd w:id="237"/>
      <w:bookmarkStart w:id="238" w:name="_Toc208854177"/>
      <w:bookmarkEnd w:id="238"/>
    </w:p>
    <w:p w14:paraId="1ED02BE7">
      <w:pPr>
        <w:pStyle w:val="65"/>
        <w:autoSpaceDE/>
        <w:autoSpaceDN/>
        <w:ind w:firstLine="420"/>
        <w:rPr>
          <w:rFonts w:hint="eastAsia" w:ascii="黑体" w:hAnsi="黑体" w:eastAsia="黑体"/>
        </w:rPr>
      </w:pPr>
      <w:bookmarkStart w:id="239" w:name="_Toc25512"/>
      <w:bookmarkEnd w:id="239"/>
      <w:bookmarkStart w:id="240" w:name="_Toc11910"/>
      <w:bookmarkEnd w:id="240"/>
      <w:bookmarkStart w:id="241" w:name="_Toc16013"/>
      <w:bookmarkEnd w:id="241"/>
      <w:bookmarkStart w:id="242" w:name="_Toc25133"/>
      <w:bookmarkEnd w:id="242"/>
      <w:bookmarkStart w:id="243" w:name="_Toc14089"/>
      <w:bookmarkEnd w:id="243"/>
      <w:bookmarkStart w:id="244" w:name="_Toc18842"/>
      <w:bookmarkEnd w:id="244"/>
      <w:bookmarkStart w:id="245" w:name="_Toc204068445"/>
      <w:bookmarkEnd w:id="245"/>
      <w:bookmarkStart w:id="246" w:name="_Toc204448559"/>
      <w:bookmarkEnd w:id="246"/>
      <w:bookmarkStart w:id="247" w:name="_Toc28177"/>
      <w:bookmarkEnd w:id="247"/>
      <w:bookmarkStart w:id="248" w:name="_Toc29289"/>
      <w:bookmarkEnd w:id="248"/>
      <w:bookmarkStart w:id="249" w:name="_Toc27223"/>
      <w:bookmarkEnd w:id="249"/>
      <w:r>
        <w:rPr>
          <w:rFonts w:hint="eastAsia" w:ascii="黑体" w:hAnsi="黑体" w:eastAsia="黑体"/>
        </w:rPr>
        <w:t>加工能力</w:t>
      </w:r>
      <w:r>
        <w:rPr>
          <w:rFonts w:hint="eastAsia" w:ascii="黑体" w:hAnsi="黑体" w:eastAsia="黑体"/>
          <w:color w:val="000000" w:themeColor="text1"/>
          <w14:textFill>
            <w14:solidFill>
              <w14:schemeClr w14:val="tx1"/>
            </w14:solidFill>
          </w14:textFill>
        </w:rPr>
        <w:t xml:space="preserve"> </w:t>
      </w:r>
      <w:r>
        <w:rPr>
          <w:rFonts w:ascii="黑体" w:hAnsi="黑体" w:eastAsia="黑体"/>
          <w:color w:val="000000" w:themeColor="text1"/>
          <w14:textFill>
            <w14:solidFill>
              <w14:schemeClr w14:val="tx1"/>
            </w14:solidFill>
          </w14:textFill>
        </w:rPr>
        <w:t xml:space="preserve"> </w:t>
      </w:r>
      <w:r>
        <w:rPr>
          <w:rFonts w:hint="eastAsia" w:ascii="黑体" w:hAnsi="黑体" w:eastAsia="黑体"/>
        </w:rPr>
        <w:t>processing capacity</w:t>
      </w:r>
    </w:p>
    <w:p w14:paraId="33310812">
      <w:pPr>
        <w:pStyle w:val="65"/>
        <w:autoSpaceDE/>
        <w:autoSpaceDN/>
        <w:ind w:firstLine="420"/>
        <w:rPr>
          <w:color w:val="000000" w:themeColor="text1"/>
          <w14:textFill>
            <w14:solidFill>
              <w14:schemeClr w14:val="tx1"/>
            </w14:solidFill>
          </w14:textFill>
        </w:rPr>
      </w:pPr>
      <w:bookmarkStart w:id="250" w:name="_Hlk207359510"/>
      <w:r>
        <w:rPr>
          <w:rFonts w:hint="eastAsia"/>
          <w:color w:val="000000" w:themeColor="text1"/>
          <w14:textFill>
            <w14:solidFill>
              <w14:schemeClr w14:val="tx1"/>
            </w14:solidFill>
          </w14:textFill>
        </w:rPr>
        <w:t>谷类清洗浸泡成套设备（3.2）正常运行时</w:t>
      </w:r>
      <w:bookmarkEnd w:id="250"/>
      <w:r>
        <w:rPr>
          <w:rFonts w:hint="eastAsia"/>
          <w:color w:val="000000" w:themeColor="text1"/>
          <w14:textFill>
            <w14:solidFill>
              <w14:schemeClr w14:val="tx1"/>
            </w14:solidFill>
          </w14:textFill>
        </w:rPr>
        <w:t>，单位体积的设备清洗浸泡干燥谷物的质量。</w:t>
      </w:r>
    </w:p>
    <w:p w14:paraId="7B0F7B7E">
      <w:pPr>
        <w:pStyle w:val="65"/>
        <w:ind w:firstLine="360"/>
        <w:rPr>
          <w:rFonts w:hint="eastAsia" w:hAnsi="宋体" w:cs="宋体"/>
          <w:color w:val="000000" w:themeColor="text1"/>
          <w:sz w:val="18"/>
          <w:szCs w:val="18"/>
          <w14:textFill>
            <w14:solidFill>
              <w14:schemeClr w14:val="tx1"/>
            </w14:solidFill>
          </w14:textFill>
        </w:rPr>
      </w:pPr>
      <w:r>
        <w:rPr>
          <w:rFonts w:hint="eastAsia" w:ascii="黑体" w:hAnsi="黑体" w:eastAsia="黑体" w:cs="黑体"/>
          <w:sz w:val="18"/>
          <w:szCs w:val="18"/>
        </w:rPr>
        <w:t>注：</w:t>
      </w:r>
      <w:r>
        <w:rPr>
          <w:rFonts w:hint="eastAsia" w:hAnsi="宋体" w:cs="宋体"/>
          <w:sz w:val="18"/>
          <w:szCs w:val="18"/>
        </w:rPr>
        <w:t>加工能力的单位为千克每立方米（</w:t>
      </w:r>
      <w:r>
        <w:rPr>
          <w:rFonts w:hint="eastAsia" w:hAnsi="宋体" w:cs="宋体"/>
          <w:color w:val="000000" w:themeColor="text1"/>
          <w:sz w:val="18"/>
          <w:szCs w:val="18"/>
          <w14:textFill>
            <w14:solidFill>
              <w14:schemeClr w14:val="tx1"/>
            </w14:solidFill>
          </w14:textFill>
        </w:rPr>
        <w:t>kg/m</w:t>
      </w:r>
      <w:r>
        <w:rPr>
          <w:rFonts w:hint="eastAsia" w:hAnsi="宋体" w:cs="宋体"/>
          <w:color w:val="000000" w:themeColor="text1"/>
          <w:sz w:val="18"/>
          <w:szCs w:val="18"/>
          <w:vertAlign w:val="superscript"/>
          <w14:textFill>
            <w14:solidFill>
              <w14:schemeClr w14:val="tx1"/>
            </w14:solidFill>
          </w14:textFill>
        </w:rPr>
        <w:t>3</w:t>
      </w:r>
      <w:r>
        <w:rPr>
          <w:rFonts w:hint="eastAsia" w:hAnsi="宋体" w:cs="宋体"/>
          <w:sz w:val="18"/>
          <w:szCs w:val="18"/>
        </w:rPr>
        <w:t>）。</w:t>
      </w:r>
    </w:p>
    <w:p w14:paraId="1C0192A0">
      <w:pPr>
        <w:pStyle w:val="114"/>
        <w:numPr>
          <w:ilvl w:val="2"/>
          <w:numId w:val="35"/>
        </w:numPr>
        <w:spacing w:before="120" w:after="120"/>
      </w:pPr>
      <w:bookmarkStart w:id="251" w:name="_Toc7812"/>
      <w:bookmarkEnd w:id="251"/>
      <w:bookmarkStart w:id="252" w:name="_Toc208854178"/>
      <w:bookmarkEnd w:id="252"/>
      <w:bookmarkStart w:id="253" w:name="_Toc12032"/>
      <w:bookmarkEnd w:id="253"/>
    </w:p>
    <w:p w14:paraId="0362D5BA">
      <w:pPr>
        <w:pStyle w:val="65"/>
        <w:autoSpaceDE/>
        <w:autoSpaceDN/>
        <w:ind w:firstLine="420"/>
        <w:rPr>
          <w:rFonts w:hint="eastAsia" w:ascii="黑体" w:hAnsi="黑体" w:eastAsia="黑体"/>
        </w:rPr>
      </w:pPr>
      <w:bookmarkStart w:id="254" w:name="_Toc16311"/>
      <w:bookmarkEnd w:id="254"/>
      <w:bookmarkStart w:id="255" w:name="_Toc14085"/>
      <w:bookmarkEnd w:id="255"/>
      <w:bookmarkStart w:id="256" w:name="_Toc9944"/>
      <w:bookmarkEnd w:id="256"/>
      <w:bookmarkStart w:id="257" w:name="_Toc29590"/>
      <w:bookmarkEnd w:id="257"/>
      <w:bookmarkStart w:id="258" w:name="_Toc2026"/>
      <w:bookmarkEnd w:id="258"/>
      <w:bookmarkStart w:id="259" w:name="_Toc32751"/>
      <w:bookmarkEnd w:id="259"/>
      <w:bookmarkStart w:id="260" w:name="_Toc30103"/>
      <w:bookmarkEnd w:id="260"/>
      <w:bookmarkStart w:id="261" w:name="_Toc20507"/>
      <w:bookmarkEnd w:id="261"/>
      <w:bookmarkStart w:id="262" w:name="_Toc23160"/>
      <w:bookmarkEnd w:id="262"/>
      <w:bookmarkStart w:id="263" w:name="_Toc2831"/>
      <w:bookmarkEnd w:id="263"/>
      <w:bookmarkStart w:id="264" w:name="_Toc204068446"/>
      <w:bookmarkEnd w:id="264"/>
      <w:bookmarkStart w:id="265" w:name="_Toc204448560"/>
      <w:bookmarkEnd w:id="265"/>
      <w:r>
        <w:rPr>
          <w:rFonts w:hint="eastAsia" w:ascii="黑体" w:hAnsi="黑体" w:eastAsia="黑体"/>
        </w:rPr>
        <w:t>泡发合格率  soaking qualification rate</w:t>
      </w:r>
    </w:p>
    <w:p w14:paraId="01ADECA2">
      <w:pPr>
        <w:pStyle w:val="65"/>
        <w:autoSpaceDE/>
        <w:autoSpaceDN/>
        <w:ind w:firstLine="420"/>
        <w:rPr>
          <w:color w:val="000000" w:themeColor="text1"/>
          <w14:textFill>
            <w14:solidFill>
              <w14:schemeClr w14:val="tx1"/>
            </w14:solidFill>
          </w14:textFill>
        </w:rPr>
      </w:pPr>
      <w:r>
        <w:rPr>
          <w:rFonts w:hint="eastAsia"/>
        </w:rPr>
        <w:t>合格的</w:t>
      </w:r>
      <w:r>
        <w:rPr>
          <w:rFonts w:hint="eastAsia"/>
          <w:color w:val="000000" w:themeColor="text1"/>
          <w14:textFill>
            <w14:solidFill>
              <w14:schemeClr w14:val="tx1"/>
            </w14:solidFill>
          </w14:textFill>
        </w:rPr>
        <w:t>泡发谷</w:t>
      </w:r>
      <w:r>
        <w:rPr>
          <w:rFonts w:hint="eastAsia"/>
        </w:rPr>
        <w:t>物质量与泡发谷物总质量</w:t>
      </w:r>
      <w:r>
        <w:rPr>
          <w:rFonts w:hint="eastAsia"/>
          <w:color w:val="000000" w:themeColor="text1"/>
          <w14:textFill>
            <w14:solidFill>
              <w14:schemeClr w14:val="tx1"/>
            </w14:solidFill>
          </w14:textFill>
        </w:rPr>
        <w:t>的百分比。</w:t>
      </w:r>
    </w:p>
    <w:p w14:paraId="085BAED7">
      <w:pPr>
        <w:pStyle w:val="65"/>
        <w:ind w:firstLine="360"/>
        <w:rPr>
          <w:rFonts w:hint="eastAsia" w:hAnsi="宋体" w:cs="宋体"/>
          <w:color w:val="000000" w:themeColor="text1"/>
          <w:sz w:val="18"/>
          <w:szCs w:val="18"/>
          <w14:textFill>
            <w14:solidFill>
              <w14:schemeClr w14:val="tx1"/>
            </w14:solidFill>
          </w14:textFill>
        </w:rPr>
      </w:pPr>
      <w:r>
        <w:rPr>
          <w:rFonts w:hint="eastAsia" w:ascii="黑体" w:hAnsi="黑体" w:eastAsia="黑体" w:cs="黑体"/>
          <w:sz w:val="18"/>
          <w:szCs w:val="18"/>
        </w:rPr>
        <w:t>注：</w:t>
      </w:r>
      <w:r>
        <w:rPr>
          <w:rFonts w:hint="eastAsia" w:hAnsi="宋体" w:cs="宋体"/>
          <w:sz w:val="18"/>
          <w:szCs w:val="18"/>
        </w:rPr>
        <w:t>合格的泡发谷物是指</w:t>
      </w:r>
      <w:r>
        <w:rPr>
          <w:rFonts w:hint="eastAsia" w:hAnsi="宋体" w:cs="宋体"/>
          <w:kern w:val="2"/>
          <w:sz w:val="18"/>
          <w:szCs w:val="18"/>
        </w:rPr>
        <w:t>谷物泡发体积</w:t>
      </w:r>
      <w:r>
        <w:rPr>
          <w:rFonts w:hint="eastAsia" w:hAnsi="宋体" w:cs="宋体"/>
          <w:sz w:val="18"/>
          <w:szCs w:val="18"/>
        </w:rPr>
        <w:t>和</w:t>
      </w:r>
      <w:r>
        <w:rPr>
          <w:rFonts w:hint="eastAsia" w:hAnsi="宋体" w:cs="宋体"/>
          <w:kern w:val="2"/>
          <w:sz w:val="18"/>
          <w:szCs w:val="18"/>
        </w:rPr>
        <w:t>泡发状态</w:t>
      </w:r>
      <w:r>
        <w:rPr>
          <w:rFonts w:hint="eastAsia" w:hAnsi="宋体" w:cs="宋体"/>
          <w:sz w:val="18"/>
          <w:szCs w:val="18"/>
        </w:rPr>
        <w:t>均满足</w:t>
      </w:r>
      <w:r>
        <w:rPr>
          <w:rFonts w:hint="eastAsia" w:hAnsi="宋体" w:cs="宋体"/>
          <w:kern w:val="2"/>
          <w:sz w:val="18"/>
          <w:szCs w:val="18"/>
        </w:rPr>
        <w:t>生产需要，无未泡发和泡发过头现象。</w:t>
      </w:r>
    </w:p>
    <w:p w14:paraId="404F131F">
      <w:pPr>
        <w:pStyle w:val="114"/>
        <w:numPr>
          <w:ilvl w:val="2"/>
          <w:numId w:val="35"/>
        </w:numPr>
        <w:spacing w:before="120" w:after="120"/>
      </w:pPr>
      <w:bookmarkStart w:id="266" w:name="_Toc18044"/>
      <w:bookmarkEnd w:id="266"/>
      <w:bookmarkStart w:id="267" w:name="_Toc18202"/>
      <w:bookmarkEnd w:id="267"/>
      <w:bookmarkStart w:id="268" w:name="_Toc208854179"/>
      <w:bookmarkEnd w:id="268"/>
    </w:p>
    <w:p w14:paraId="349D72C1">
      <w:pPr>
        <w:pStyle w:val="65"/>
        <w:autoSpaceDE/>
        <w:autoSpaceDN/>
        <w:ind w:firstLine="420"/>
        <w:rPr>
          <w:rFonts w:hint="eastAsia" w:ascii="黑体" w:hAnsi="黑体" w:eastAsia="黑体"/>
        </w:rPr>
      </w:pPr>
      <w:bookmarkStart w:id="269" w:name="_Toc30229"/>
      <w:bookmarkEnd w:id="269"/>
      <w:bookmarkStart w:id="270" w:name="_Toc11881"/>
      <w:bookmarkEnd w:id="270"/>
      <w:bookmarkStart w:id="271" w:name="_Toc7974"/>
      <w:bookmarkEnd w:id="271"/>
      <w:bookmarkStart w:id="272" w:name="_Toc32187"/>
      <w:bookmarkEnd w:id="272"/>
      <w:bookmarkStart w:id="273" w:name="_Toc5962"/>
      <w:bookmarkEnd w:id="273"/>
      <w:bookmarkStart w:id="274" w:name="_Toc17130"/>
      <w:bookmarkEnd w:id="274"/>
      <w:bookmarkStart w:id="275" w:name="_Toc26059"/>
      <w:bookmarkEnd w:id="275"/>
      <w:bookmarkStart w:id="276" w:name="_Toc204068447"/>
      <w:bookmarkEnd w:id="276"/>
      <w:bookmarkStart w:id="277" w:name="_Toc42"/>
      <w:bookmarkEnd w:id="277"/>
      <w:bookmarkStart w:id="278" w:name="_Toc15786"/>
      <w:bookmarkEnd w:id="278"/>
      <w:bookmarkStart w:id="279" w:name="_Toc204448561"/>
      <w:bookmarkEnd w:id="279"/>
      <w:bookmarkStart w:id="280" w:name="_Toc85527755"/>
      <w:bookmarkStart w:id="281" w:name="_Toc76902206"/>
      <w:bookmarkStart w:id="282" w:name="_Toc77186047"/>
      <w:bookmarkStart w:id="283" w:name="_Toc76532524"/>
      <w:bookmarkStart w:id="284" w:name="_Toc87782510"/>
      <w:bookmarkStart w:id="285" w:name="_Toc76532391"/>
      <w:r>
        <w:rPr>
          <w:rFonts w:hint="eastAsia" w:ascii="黑体" w:hAnsi="黑体" w:eastAsia="黑体"/>
        </w:rPr>
        <w:t>单位谷物能耗量</w:t>
      </w:r>
      <w:r>
        <w:rPr>
          <w:rFonts w:ascii="黑体" w:hAnsi="黑体" w:eastAsia="黑体"/>
          <w:color w:val="000000" w:themeColor="text1"/>
          <w14:textFill>
            <w14:solidFill>
              <w14:schemeClr w14:val="tx1"/>
            </w14:solidFill>
          </w14:textFill>
        </w:rPr>
        <w:t xml:space="preserve">  </w:t>
      </w:r>
      <w:r>
        <w:rPr>
          <w:rFonts w:hint="eastAsia" w:ascii="黑体" w:hAnsi="黑体" w:eastAsia="黑体"/>
        </w:rPr>
        <w:t>energy consumption</w:t>
      </w:r>
      <w:bookmarkEnd w:id="280"/>
      <w:bookmarkEnd w:id="281"/>
      <w:bookmarkEnd w:id="282"/>
      <w:bookmarkEnd w:id="283"/>
      <w:bookmarkEnd w:id="284"/>
      <w:bookmarkEnd w:id="285"/>
      <w:r>
        <w:rPr>
          <w:rFonts w:hint="eastAsia" w:ascii="黑体" w:hAnsi="黑体" w:eastAsia="黑体"/>
        </w:rPr>
        <w:t xml:space="preserve"> for unit cereal</w:t>
      </w:r>
    </w:p>
    <w:p w14:paraId="17483341">
      <w:pPr>
        <w:pStyle w:val="65"/>
        <w:autoSpaceDE/>
        <w:autoSpaceDN/>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在规定的工艺条件下，谷类清洗浸泡成套设备（3.2）正常运行时清洗泡发单位质量的干燥谷物所消耗的能量。</w:t>
      </w:r>
    </w:p>
    <w:p w14:paraId="47E2EF9F">
      <w:pPr>
        <w:widowControl/>
        <w:autoSpaceDE w:val="0"/>
        <w:autoSpaceDN w:val="0"/>
        <w:adjustRightInd/>
        <w:spacing w:line="240" w:lineRule="auto"/>
        <w:ind w:firstLine="360" w:firstLineChars="200"/>
        <w:jc w:val="both"/>
        <w:rPr>
          <w:rFonts w:hint="eastAsia" w:ascii="宋体" w:hAnsi="宋体" w:cs="宋体"/>
          <w:kern w:val="0"/>
          <w:sz w:val="18"/>
          <w:szCs w:val="18"/>
        </w:rPr>
      </w:pPr>
      <w:r>
        <w:rPr>
          <w:rFonts w:hint="eastAsia" w:ascii="黑体" w:hAnsi="黑体" w:eastAsia="黑体" w:cs="黑体"/>
          <w:kern w:val="0"/>
          <w:sz w:val="18"/>
          <w:szCs w:val="18"/>
        </w:rPr>
        <w:t>注：</w:t>
      </w:r>
      <w:r>
        <w:rPr>
          <w:rFonts w:hint="eastAsia" w:ascii="宋体" w:hAnsi="宋体" w:cs="宋体"/>
          <w:kern w:val="0"/>
          <w:sz w:val="18"/>
          <w:szCs w:val="18"/>
        </w:rPr>
        <w:t>单位谷物能耗量的单位为千焦每千克（KJ/kg）。</w:t>
      </w:r>
    </w:p>
    <w:p w14:paraId="680F8AA4">
      <w:pPr>
        <w:pStyle w:val="114"/>
        <w:numPr>
          <w:ilvl w:val="2"/>
          <w:numId w:val="35"/>
        </w:numPr>
        <w:spacing w:before="120" w:after="120"/>
        <w:rPr>
          <w:rFonts w:hint="eastAsia" w:ascii="宋体" w:hAnsi="宋体" w:cs="宋体"/>
        </w:rPr>
      </w:pPr>
      <w:bookmarkStart w:id="286" w:name="_Toc208854180"/>
      <w:bookmarkEnd w:id="286"/>
      <w:bookmarkStart w:id="287" w:name="_Toc16669"/>
      <w:bookmarkEnd w:id="287"/>
      <w:bookmarkStart w:id="288" w:name="_Toc27457"/>
      <w:bookmarkEnd w:id="288"/>
    </w:p>
    <w:p w14:paraId="3746944A">
      <w:pPr>
        <w:widowControl/>
        <w:ind w:firstLine="420" w:firstLineChars="200"/>
        <w:jc w:val="both"/>
        <w:rPr>
          <w:rFonts w:hint="eastAsia" w:ascii="黑体" w:hAnsi="黑体" w:eastAsia="黑体" w:cs="宋体"/>
        </w:rPr>
      </w:pPr>
      <w:r>
        <w:rPr>
          <w:rFonts w:hint="eastAsia" w:ascii="黑体" w:hAnsi="黑体" w:eastAsia="黑体"/>
        </w:rPr>
        <w:t>使用有效度  availability</w:t>
      </w:r>
    </w:p>
    <w:p w14:paraId="29B3A523">
      <w:pPr>
        <w:widowControl/>
        <w:adjustRightInd/>
        <w:spacing w:line="240" w:lineRule="auto"/>
        <w:ind w:firstLine="420" w:firstLineChars="200"/>
        <w:jc w:val="both"/>
        <w:rPr>
          <w:rFonts w:hint="eastAsia" w:ascii="宋体" w:hAnsi="宋体"/>
        </w:rPr>
      </w:pPr>
      <w:r>
        <w:rPr>
          <w:rFonts w:hint="eastAsia" w:ascii="宋体" w:hAnsi="宋体"/>
        </w:rPr>
        <w:t>在某个观察期内，</w:t>
      </w:r>
      <w:r>
        <w:rPr>
          <w:rFonts w:hint="eastAsia"/>
          <w:color w:val="000000" w:themeColor="text1"/>
          <w14:textFill>
            <w14:solidFill>
              <w14:schemeClr w14:val="tx1"/>
            </w14:solidFill>
          </w14:textFill>
        </w:rPr>
        <w:t>谷类清洗浸泡成套设备</w:t>
      </w:r>
      <w:r>
        <w:rPr>
          <w:rFonts w:hint="eastAsia" w:ascii="宋体" w:hAnsi="Times New Roman"/>
          <w:color w:val="000000" w:themeColor="text1"/>
          <w:kern w:val="0"/>
          <w:szCs w:val="20"/>
          <w14:textFill>
            <w14:solidFill>
              <w14:schemeClr w14:val="tx1"/>
            </w14:solidFill>
          </w14:textFill>
        </w:rPr>
        <w:t>（</w:t>
      </w:r>
      <w:r>
        <w:rPr>
          <w:rFonts w:ascii="宋体" w:hAnsi="Times New Roman"/>
          <w:color w:val="000000" w:themeColor="text1"/>
          <w:kern w:val="0"/>
          <w:szCs w:val="20"/>
          <w14:textFill>
            <w14:solidFill>
              <w14:schemeClr w14:val="tx1"/>
            </w14:solidFill>
          </w14:textFill>
        </w:rPr>
        <w:t>3.2</w:t>
      </w:r>
      <w:r>
        <w:rPr>
          <w:rFonts w:hint="eastAsia" w:ascii="宋体" w:hAnsi="Times New Roman"/>
          <w:color w:val="000000" w:themeColor="text1"/>
          <w:kern w:val="0"/>
          <w:szCs w:val="20"/>
          <w14:textFill>
            <w14:solidFill>
              <w14:schemeClr w14:val="tx1"/>
            </w14:solidFill>
          </w14:textFill>
        </w:rPr>
        <w:t>）</w:t>
      </w:r>
      <w:r>
        <w:rPr>
          <w:rFonts w:hint="eastAsia" w:ascii="宋体" w:hAnsi="宋体"/>
        </w:rPr>
        <w:t>正常运行时间和正常运行时间与故障时间之和的百分比。</w:t>
      </w:r>
    </w:p>
    <w:p w14:paraId="6BD309C7">
      <w:pPr>
        <w:widowControl/>
        <w:adjustRightInd/>
        <w:spacing w:line="240" w:lineRule="auto"/>
        <w:ind w:firstLine="420" w:firstLineChars="200"/>
        <w:jc w:val="both"/>
        <w:rPr>
          <w:rFonts w:hint="eastAsia" w:ascii="宋体" w:hAnsi="宋体"/>
        </w:rPr>
      </w:pPr>
      <w:r>
        <w:rPr>
          <w:rFonts w:hint="eastAsia" w:ascii="宋体" w:hAnsi="宋体"/>
          <w:kern w:val="0"/>
        </w:rPr>
        <w:t>［来源：GB/T 5667—2008，2.12，有修改］</w:t>
      </w:r>
    </w:p>
    <w:bookmarkEnd w:id="193"/>
    <w:p w14:paraId="1A2AFDDF">
      <w:pPr>
        <w:pStyle w:val="268"/>
        <w:numPr>
          <w:ilvl w:val="1"/>
          <w:numId w:val="35"/>
        </w:numPr>
        <w:spacing w:before="240" w:after="240" w:line="240" w:lineRule="auto"/>
        <w:jc w:val="both"/>
        <w:rPr>
          <w:rFonts w:hint="eastAsia"/>
        </w:rPr>
      </w:pPr>
      <w:bookmarkStart w:id="289" w:name="_Toc107129086"/>
      <w:bookmarkEnd w:id="289"/>
      <w:bookmarkStart w:id="290" w:name="_Toc76902207"/>
      <w:bookmarkEnd w:id="290"/>
      <w:bookmarkStart w:id="291" w:name="_Toc77186044"/>
      <w:bookmarkEnd w:id="291"/>
      <w:bookmarkStart w:id="292" w:name="_Toc87782507"/>
      <w:bookmarkEnd w:id="292"/>
      <w:bookmarkStart w:id="293" w:name="_Toc76532390"/>
      <w:bookmarkEnd w:id="293"/>
      <w:bookmarkStart w:id="294" w:name="_Toc76902214"/>
      <w:bookmarkEnd w:id="294"/>
      <w:bookmarkStart w:id="295" w:name="_Toc94259937"/>
      <w:bookmarkEnd w:id="295"/>
      <w:bookmarkStart w:id="296" w:name="_Toc76902213"/>
      <w:bookmarkEnd w:id="296"/>
      <w:bookmarkStart w:id="297" w:name="_Toc76532394"/>
      <w:bookmarkEnd w:id="297"/>
      <w:bookmarkStart w:id="298" w:name="_Toc76902178"/>
      <w:bookmarkEnd w:id="298"/>
      <w:bookmarkStart w:id="299" w:name="_Toc76532527"/>
      <w:bookmarkEnd w:id="299"/>
      <w:bookmarkStart w:id="300" w:name="_Toc77186046"/>
      <w:bookmarkEnd w:id="300"/>
      <w:bookmarkStart w:id="301" w:name="_Toc109500897"/>
      <w:bookmarkEnd w:id="301"/>
      <w:bookmarkStart w:id="302" w:name="_Toc76902203"/>
      <w:bookmarkEnd w:id="302"/>
      <w:bookmarkStart w:id="303" w:name="_Toc76902215"/>
      <w:bookmarkEnd w:id="303"/>
      <w:bookmarkStart w:id="304" w:name="_Toc76532486"/>
      <w:bookmarkEnd w:id="304"/>
      <w:bookmarkStart w:id="305" w:name="_Toc76532393"/>
      <w:bookmarkEnd w:id="305"/>
      <w:bookmarkStart w:id="306" w:name="_Toc94259933"/>
      <w:bookmarkEnd w:id="306"/>
      <w:bookmarkStart w:id="307" w:name="_Toc108883482"/>
      <w:bookmarkEnd w:id="307"/>
      <w:bookmarkStart w:id="308" w:name="_Toc103784702"/>
      <w:bookmarkEnd w:id="308"/>
      <w:bookmarkStart w:id="309" w:name="_Toc76532533"/>
      <w:bookmarkEnd w:id="309"/>
      <w:bookmarkStart w:id="310" w:name="_Toc77186048"/>
      <w:bookmarkEnd w:id="310"/>
      <w:bookmarkStart w:id="311" w:name="_Toc109500895"/>
      <w:bookmarkEnd w:id="311"/>
      <w:bookmarkStart w:id="312" w:name="_Toc76902210"/>
      <w:bookmarkEnd w:id="312"/>
      <w:bookmarkStart w:id="313" w:name="_Toc76902209"/>
      <w:bookmarkEnd w:id="313"/>
      <w:bookmarkStart w:id="314" w:name="_Toc76532399"/>
      <w:bookmarkEnd w:id="314"/>
      <w:bookmarkStart w:id="315" w:name="_Toc76532474"/>
      <w:bookmarkEnd w:id="315"/>
      <w:bookmarkStart w:id="316" w:name="_Toc76532392"/>
      <w:bookmarkEnd w:id="316"/>
      <w:bookmarkStart w:id="317" w:name="_Toc85527752"/>
      <w:bookmarkEnd w:id="317"/>
      <w:bookmarkStart w:id="318" w:name="_Toc76532526"/>
      <w:bookmarkEnd w:id="318"/>
      <w:bookmarkStart w:id="319" w:name="_Toc21173"/>
      <w:bookmarkEnd w:id="319"/>
      <w:bookmarkStart w:id="320" w:name="_Toc76902177"/>
      <w:bookmarkEnd w:id="320"/>
      <w:bookmarkStart w:id="321" w:name="_Toc76532397"/>
      <w:bookmarkEnd w:id="321"/>
      <w:bookmarkStart w:id="322" w:name="_Toc76532395"/>
      <w:bookmarkEnd w:id="322"/>
      <w:bookmarkStart w:id="323" w:name="_Toc76532532"/>
      <w:bookmarkEnd w:id="323"/>
      <w:bookmarkStart w:id="324" w:name="_Toc94259932"/>
      <w:bookmarkEnd w:id="324"/>
      <w:bookmarkStart w:id="325" w:name="_Toc76532487"/>
      <w:bookmarkEnd w:id="325"/>
      <w:bookmarkStart w:id="326" w:name="_Toc76902176"/>
      <w:bookmarkEnd w:id="326"/>
      <w:bookmarkStart w:id="327" w:name="_Toc76532528"/>
      <w:bookmarkEnd w:id="327"/>
      <w:bookmarkStart w:id="328" w:name="_Toc76532400"/>
      <w:bookmarkEnd w:id="328"/>
      <w:bookmarkStart w:id="329" w:name="_Toc76902205"/>
      <w:bookmarkEnd w:id="329"/>
      <w:bookmarkStart w:id="330" w:name="_Toc76902208"/>
      <w:bookmarkEnd w:id="330"/>
      <w:bookmarkStart w:id="331" w:name="_Toc103786134"/>
      <w:bookmarkEnd w:id="331"/>
      <w:bookmarkStart w:id="332" w:name="_Toc94259936"/>
      <w:bookmarkEnd w:id="332"/>
      <w:bookmarkStart w:id="333" w:name="_Toc76902179"/>
      <w:bookmarkEnd w:id="333"/>
      <w:bookmarkStart w:id="334" w:name="_Toc76532363"/>
      <w:bookmarkEnd w:id="334"/>
      <w:bookmarkStart w:id="335" w:name="_Toc76532366"/>
      <w:bookmarkEnd w:id="335"/>
      <w:bookmarkStart w:id="336" w:name="_Toc76532531"/>
      <w:bookmarkEnd w:id="336"/>
      <w:bookmarkStart w:id="337" w:name="_Toc88368341"/>
      <w:bookmarkEnd w:id="337"/>
      <w:bookmarkStart w:id="338" w:name="_Toc93873941"/>
      <w:bookmarkEnd w:id="338"/>
      <w:bookmarkStart w:id="339" w:name="_Toc76532365"/>
      <w:bookmarkEnd w:id="339"/>
      <w:bookmarkStart w:id="340" w:name="_Toc76532521"/>
      <w:bookmarkEnd w:id="340"/>
      <w:bookmarkStart w:id="341" w:name="_Toc94259934"/>
      <w:bookmarkEnd w:id="341"/>
      <w:bookmarkStart w:id="342" w:name="_Toc76532473"/>
      <w:bookmarkEnd w:id="342"/>
      <w:bookmarkStart w:id="343" w:name="_Toc107129084"/>
      <w:bookmarkEnd w:id="343"/>
      <w:bookmarkStart w:id="344" w:name="_Toc103786086"/>
      <w:bookmarkEnd w:id="344"/>
      <w:bookmarkStart w:id="345" w:name="_Toc76532364"/>
      <w:bookmarkEnd w:id="345"/>
      <w:bookmarkStart w:id="346" w:name="_Toc88368342"/>
      <w:bookmarkEnd w:id="346"/>
      <w:bookmarkStart w:id="347" w:name="_Toc76532471"/>
      <w:bookmarkEnd w:id="347"/>
      <w:bookmarkStart w:id="348" w:name="_Toc87782509"/>
      <w:bookmarkEnd w:id="348"/>
      <w:bookmarkStart w:id="349" w:name="_Toc76532484"/>
      <w:bookmarkEnd w:id="349"/>
      <w:bookmarkStart w:id="350" w:name="_Toc94259935"/>
      <w:bookmarkEnd w:id="350"/>
      <w:bookmarkStart w:id="351" w:name="_Toc76532398"/>
      <w:bookmarkEnd w:id="351"/>
      <w:bookmarkStart w:id="352" w:name="_Toc76532485"/>
      <w:bookmarkEnd w:id="352"/>
      <w:bookmarkStart w:id="353" w:name="_Toc76532523"/>
      <w:bookmarkEnd w:id="353"/>
      <w:bookmarkStart w:id="354" w:name="_Toc93873940"/>
      <w:bookmarkEnd w:id="354"/>
      <w:bookmarkStart w:id="355" w:name="_Toc108883480"/>
      <w:bookmarkEnd w:id="355"/>
      <w:bookmarkStart w:id="356" w:name="_Toc76902212"/>
      <w:bookmarkEnd w:id="356"/>
      <w:bookmarkStart w:id="357" w:name="_Toc76532472"/>
      <w:bookmarkEnd w:id="357"/>
      <w:bookmarkStart w:id="358" w:name="_Toc76532388"/>
      <w:bookmarkEnd w:id="358"/>
      <w:bookmarkStart w:id="359" w:name="_Toc85527754"/>
      <w:bookmarkEnd w:id="359"/>
      <w:bookmarkStart w:id="360" w:name="_Toc103873491"/>
      <w:bookmarkEnd w:id="360"/>
      <w:bookmarkStart w:id="361" w:name="_Toc76532530"/>
      <w:bookmarkEnd w:id="361"/>
      <w:bookmarkStart w:id="362" w:name="_Toc76532525"/>
      <w:bookmarkEnd w:id="362"/>
      <w:bookmarkStart w:id="363" w:name="_Toc21296"/>
      <w:bookmarkStart w:id="364" w:name="_Toc196411799"/>
      <w:bookmarkStart w:id="365" w:name="_Toc1431"/>
      <w:bookmarkStart w:id="366" w:name="_Toc13440"/>
      <w:bookmarkStart w:id="367" w:name="_Toc11591"/>
      <w:bookmarkStart w:id="368" w:name="_Toc20065"/>
      <w:bookmarkStart w:id="369" w:name="_Toc30026"/>
      <w:bookmarkStart w:id="370" w:name="_Toc208854181"/>
      <w:bookmarkStart w:id="371" w:name="_Toc76532367"/>
      <w:bookmarkStart w:id="372" w:name="_Toc76902180"/>
      <w:bookmarkStart w:id="373" w:name="_Toc85527756"/>
      <w:bookmarkStart w:id="374" w:name="_Toc77186050"/>
      <w:bookmarkStart w:id="375" w:name="_Toc85527725"/>
      <w:bookmarkStart w:id="376" w:name="_Toc77186020"/>
      <w:bookmarkStart w:id="377" w:name="_Toc94259938"/>
      <w:bookmarkStart w:id="378" w:name="_Toc76532488"/>
      <w:r>
        <w:rPr>
          <w:rFonts w:hint="eastAsia"/>
        </w:rPr>
        <w:t>型式与组成</w:t>
      </w:r>
      <w:bookmarkEnd w:id="363"/>
      <w:bookmarkEnd w:id="364"/>
      <w:bookmarkEnd w:id="365"/>
      <w:bookmarkEnd w:id="366"/>
      <w:bookmarkEnd w:id="367"/>
      <w:bookmarkEnd w:id="368"/>
      <w:bookmarkEnd w:id="369"/>
      <w:bookmarkEnd w:id="370"/>
    </w:p>
    <w:p w14:paraId="7E5A211C">
      <w:pPr>
        <w:pStyle w:val="114"/>
        <w:numPr>
          <w:ilvl w:val="2"/>
          <w:numId w:val="35"/>
        </w:numPr>
        <w:spacing w:before="120" w:after="120"/>
      </w:pPr>
      <w:bookmarkStart w:id="379" w:name="_Toc14726"/>
      <w:bookmarkStart w:id="380" w:name="_Toc208854182"/>
      <w:bookmarkStart w:id="381" w:name="_Toc16921"/>
      <w:r>
        <w:rPr>
          <w:rFonts w:hint="eastAsia"/>
        </w:rPr>
        <w:t>型式</w:t>
      </w:r>
      <w:bookmarkEnd w:id="379"/>
      <w:bookmarkEnd w:id="380"/>
      <w:bookmarkEnd w:id="381"/>
    </w:p>
    <w:p w14:paraId="62B52BDA">
      <w:pPr>
        <w:shd w:val="clear" w:color="auto" w:fill="FFFFFF"/>
        <w:spacing w:line="240" w:lineRule="auto"/>
        <w:ind w:firstLine="420" w:firstLineChars="200"/>
        <w:jc w:val="both"/>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谷类清洗浸泡</w:t>
      </w:r>
      <w:r>
        <w:rPr>
          <w:rFonts w:hint="eastAsia" w:ascii="宋体" w:hAnsi="宋体" w:cs="宋体"/>
          <w:bCs/>
          <w:color w:val="000000" w:themeColor="text1"/>
          <w14:textFill>
            <w14:solidFill>
              <w14:schemeClr w14:val="tx1"/>
            </w14:solidFill>
          </w14:textFill>
        </w:rPr>
        <w:t>成套设备按谷物种类分为禾谷类清洗浸泡成套设备和</w:t>
      </w:r>
      <w:r>
        <w:rPr>
          <w:rFonts w:hint="eastAsia" w:ascii="宋体" w:hAnsi="宋体"/>
          <w:color w:val="000000" w:themeColor="text1"/>
          <w14:textFill>
            <w14:solidFill>
              <w14:schemeClr w14:val="tx1"/>
            </w14:solidFill>
          </w14:textFill>
        </w:rPr>
        <w:t>豆菽类</w:t>
      </w:r>
      <w:r>
        <w:rPr>
          <w:rFonts w:hint="eastAsia" w:ascii="宋体" w:hAnsi="宋体" w:cs="宋体"/>
          <w:bCs/>
          <w:color w:val="000000" w:themeColor="text1"/>
          <w14:textFill>
            <w14:solidFill>
              <w14:schemeClr w14:val="tx1"/>
            </w14:solidFill>
          </w14:textFill>
        </w:rPr>
        <w:t>清洗浸泡成套设备。</w:t>
      </w:r>
    </w:p>
    <w:p w14:paraId="5B602DA0">
      <w:pPr>
        <w:pStyle w:val="114"/>
        <w:numPr>
          <w:ilvl w:val="2"/>
          <w:numId w:val="35"/>
        </w:numPr>
        <w:spacing w:before="120" w:after="120"/>
        <w:rPr>
          <w:szCs w:val="21"/>
        </w:rPr>
      </w:pPr>
      <w:bookmarkStart w:id="382" w:name="_Toc208854183"/>
      <w:bookmarkStart w:id="383" w:name="_Toc12825"/>
      <w:bookmarkStart w:id="384" w:name="_Toc9140"/>
      <w:bookmarkStart w:id="385" w:name="_Toc196411801"/>
      <w:bookmarkStart w:id="386" w:name="_Toc32601"/>
      <w:bookmarkStart w:id="387" w:name="_Toc24370"/>
      <w:bookmarkStart w:id="388" w:name="_Toc8660"/>
      <w:bookmarkStart w:id="389" w:name="_Toc6623"/>
      <w:bookmarkStart w:id="390" w:name="_Toc103786137"/>
      <w:r>
        <w:rPr>
          <w:rFonts w:hint="eastAsia"/>
          <w:szCs w:val="21"/>
        </w:rPr>
        <w:t>型号</w:t>
      </w:r>
      <w:bookmarkEnd w:id="382"/>
      <w:bookmarkEnd w:id="383"/>
      <w:bookmarkEnd w:id="384"/>
      <w:bookmarkEnd w:id="385"/>
      <w:bookmarkEnd w:id="386"/>
      <w:bookmarkEnd w:id="387"/>
      <w:bookmarkEnd w:id="388"/>
      <w:bookmarkEnd w:id="389"/>
    </w:p>
    <w:p w14:paraId="13C32E64">
      <w:pPr>
        <w:shd w:val="clear" w:color="auto" w:fill="FFFFFF"/>
        <w:spacing w:line="240" w:lineRule="auto"/>
        <w:ind w:firstLine="420" w:firstLineChars="200"/>
        <w:jc w:val="both"/>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谷类清洗浸泡</w:t>
      </w:r>
      <w:r>
        <w:rPr>
          <w:rFonts w:hint="eastAsia" w:ascii="宋体" w:hAnsi="宋体" w:cs="宋体"/>
          <w:bCs/>
        </w:rPr>
        <w:t>成套</w:t>
      </w:r>
      <w:r>
        <w:rPr>
          <w:rFonts w:ascii="宋体" w:hAnsi="宋体" w:cs="宋体"/>
          <w:bCs/>
        </w:rPr>
        <w:t>设备</w:t>
      </w:r>
      <w:r>
        <w:rPr>
          <w:rFonts w:hint="eastAsia" w:ascii="宋体" w:hAnsi="宋体" w:cs="宋体"/>
          <w:bCs/>
        </w:rPr>
        <w:t>（以下简称“成套设备”）型号由成套设备的名称代号、型式代号和规格代号三部分组成。其中，</w:t>
      </w:r>
      <w:r>
        <w:rPr>
          <w:rFonts w:hint="eastAsia" w:ascii="宋体" w:hAnsi="宋体"/>
          <w:color w:val="000000" w:themeColor="text1"/>
          <w14:textFill>
            <w14:solidFill>
              <w14:schemeClr w14:val="tx1"/>
            </w14:solidFill>
          </w14:textFill>
        </w:rPr>
        <w:t>名称代号用“谷类清洗浸泡成套设备”的“清泡”两汉字拼音首字母</w:t>
      </w:r>
      <w:r>
        <w:rPr>
          <w:rFonts w:hint="eastAsia" w:ascii="宋体" w:hAnsi="宋体"/>
        </w:rPr>
        <w:t>“</w:t>
      </w:r>
      <w:r>
        <w:rPr>
          <w:rFonts w:ascii="宋体" w:hAnsi="宋体"/>
        </w:rPr>
        <w:t>QP</w:t>
      </w:r>
      <w:r>
        <w:rPr>
          <w:rFonts w:hint="eastAsia" w:ascii="宋体" w:hAnsi="宋体"/>
        </w:rPr>
        <w:t>”</w:t>
      </w:r>
      <w:r>
        <w:rPr>
          <w:rFonts w:hint="eastAsia" w:ascii="宋体" w:hAnsi="宋体"/>
          <w:color w:val="000000" w:themeColor="text1"/>
          <w14:textFill>
            <w14:solidFill>
              <w14:schemeClr w14:val="tx1"/>
            </w14:solidFill>
          </w14:textFill>
        </w:rPr>
        <w:t>居首表示，型式代号用成套设备型式“禾谷类”“豆菽类”的汉语拼音首字母“H”“S”居第二位表示，规格代号用成套设备的加工能力（阿拉伯数字）居第三位表示。其型号编制形式如下：</w:t>
      </w:r>
    </w:p>
    <w:p w14:paraId="41D76EF2">
      <w:pPr>
        <w:adjustRightInd/>
        <w:spacing w:line="240" w:lineRule="auto"/>
        <w:jc w:val="center"/>
        <w:rPr>
          <w:rFonts w:hint="eastAsia" w:ascii="黑体" w:hAnsi="黑体" w:eastAsia="黑体" w:cs="黑体"/>
          <w:kern w:val="0"/>
          <w:szCs w:val="20"/>
        </w:rPr>
      </w:pPr>
    </w:p>
    <w:p w14:paraId="00C811BC">
      <w:pPr>
        <w:adjustRightInd/>
        <w:spacing w:line="240" w:lineRule="auto"/>
        <w:jc w:val="center"/>
        <w:rPr>
          <w:rFonts w:hint="eastAsia" w:ascii="黑体" w:hAnsi="黑体" w:eastAsia="黑体" w:cs="黑体"/>
          <w:kern w:val="0"/>
          <w:szCs w:val="20"/>
        </w:rPr>
      </w:pPr>
      <w:r>
        <w:rPr>
          <w:rFonts w:cs="宋体"/>
          <w:bCs/>
        </w:rPr>
        <mc:AlternateContent>
          <mc:Choice Requires="wpg">
            <w:drawing>
              <wp:inline distT="0" distB="0" distL="114300" distR="114300">
                <wp:extent cx="2985770" cy="1636395"/>
                <wp:effectExtent l="0" t="0" r="5080" b="1905"/>
                <wp:docPr id="1" name="组合 1"/>
                <wp:cNvGraphicFramePr/>
                <a:graphic xmlns:a="http://schemas.openxmlformats.org/drawingml/2006/main">
                  <a:graphicData uri="http://schemas.microsoft.com/office/word/2010/wordprocessingGroup">
                    <wpg:wgp>
                      <wpg:cNvGrpSpPr/>
                      <wpg:grpSpPr>
                        <a:xfrm>
                          <a:off x="0" y="0"/>
                          <a:ext cx="2985770" cy="1636395"/>
                          <a:chOff x="5567" y="0"/>
                          <a:chExt cx="29062" cy="15119"/>
                        </a:xfrm>
                        <a:effectLst/>
                      </wpg:grpSpPr>
                      <wps:wsp>
                        <wps:cNvPr id="2" name="文本框 90"/>
                        <wps:cNvSpPr txBox="1"/>
                        <wps:spPr>
                          <a:xfrm>
                            <a:off x="21818" y="12131"/>
                            <a:ext cx="12766" cy="2988"/>
                          </a:xfrm>
                          <a:prstGeom prst="rect">
                            <a:avLst/>
                          </a:prstGeom>
                          <a:solidFill>
                            <a:srgbClr val="FFFFFF"/>
                          </a:solidFill>
                          <a:ln w="6350">
                            <a:noFill/>
                          </a:ln>
                          <a:effectLst/>
                        </wps:spPr>
                        <wps:txbx>
                          <w:txbxContent>
                            <w:p w14:paraId="1F904896">
                              <w:pPr>
                                <w:spacing w:line="240" w:lineRule="auto"/>
                              </w:pPr>
                              <w:r>
                                <w:rPr>
                                  <w:rFonts w:hint="eastAsia" w:hAnsi="宋体"/>
                                </w:rPr>
                                <w:t>名称代号</w:t>
                              </w:r>
                            </w:p>
                            <w:p w14:paraId="7D3D767C">
                              <w:pPr>
                                <w:spacing w:line="240" w:lineRule="auto"/>
                              </w:pPr>
                            </w:p>
                          </w:txbxContent>
                        </wps:txbx>
                        <wps:bodyPr anchor="ctr" upright="1"/>
                      </wps:wsp>
                      <wpg:grpSp>
                        <wpg:cNvPr id="3" name="组合 92"/>
                        <wpg:cNvGrpSpPr/>
                        <wpg:grpSpPr>
                          <a:xfrm>
                            <a:off x="5567" y="0"/>
                            <a:ext cx="29062" cy="13409"/>
                            <a:chOff x="5567" y="0"/>
                            <a:chExt cx="29062" cy="13409"/>
                          </a:xfrm>
                          <a:effectLst/>
                        </wpg:grpSpPr>
                        <wpg:grpSp>
                          <wpg:cNvPr id="4" name="组合 87"/>
                          <wpg:cNvGrpSpPr/>
                          <wpg:grpSpPr>
                            <a:xfrm>
                              <a:off x="5567" y="0"/>
                              <a:ext cx="15950" cy="13409"/>
                              <a:chOff x="5567" y="0"/>
                              <a:chExt cx="15950" cy="13409"/>
                            </a:xfrm>
                            <a:effectLst/>
                          </wpg:grpSpPr>
                          <wps:wsp>
                            <wps:cNvPr id="5" name="直接连接符 31"/>
                            <wps:cNvCnPr/>
                            <wps:spPr>
                              <a:xfrm>
                                <a:off x="6699" y="13399"/>
                                <a:ext cx="14802" cy="0"/>
                              </a:xfrm>
                              <a:prstGeom prst="line">
                                <a:avLst/>
                              </a:prstGeom>
                              <a:ln w="9525" cap="flat" cmpd="sng">
                                <a:solidFill>
                                  <a:srgbClr val="000000"/>
                                </a:solidFill>
                                <a:prstDash val="solid"/>
                                <a:headEnd type="none" w="med" len="med"/>
                                <a:tailEnd type="none" w="med" len="med"/>
                              </a:ln>
                              <a:effectLst/>
                            </wps:spPr>
                            <wps:bodyPr/>
                          </wps:wsp>
                          <wpg:grpSp>
                            <wpg:cNvPr id="12" name="组合 86"/>
                            <wpg:cNvGrpSpPr/>
                            <wpg:grpSpPr>
                              <a:xfrm>
                                <a:off x="5567" y="0"/>
                                <a:ext cx="15950" cy="13409"/>
                                <a:chOff x="5567" y="0"/>
                                <a:chExt cx="15950" cy="13409"/>
                              </a:xfrm>
                              <a:effectLst/>
                            </wpg:grpSpPr>
                            <wps:wsp>
                              <wps:cNvPr id="17" name="直接连接符 64"/>
                              <wps:cNvCnPr/>
                              <wps:spPr>
                                <a:xfrm>
                                  <a:off x="10411" y="10909"/>
                                  <a:ext cx="11106" cy="0"/>
                                </a:xfrm>
                                <a:prstGeom prst="line">
                                  <a:avLst/>
                                </a:prstGeom>
                                <a:ln w="9525" cap="flat" cmpd="sng">
                                  <a:solidFill>
                                    <a:srgbClr val="000000"/>
                                  </a:solidFill>
                                  <a:prstDash val="solid"/>
                                  <a:headEnd type="none" w="med" len="med"/>
                                  <a:tailEnd type="none" w="med" len="med"/>
                                </a:ln>
                                <a:effectLst/>
                              </wps:spPr>
                              <wps:bodyPr/>
                            </wps:wsp>
                            <wps:wsp>
                              <wps:cNvPr id="18" name="直接连接符 65"/>
                              <wps:cNvCnPr/>
                              <wps:spPr>
                                <a:xfrm>
                                  <a:off x="14259" y="8329"/>
                                  <a:ext cx="7255" cy="5"/>
                                </a:xfrm>
                                <a:prstGeom prst="line">
                                  <a:avLst/>
                                </a:prstGeom>
                                <a:ln w="9525" cap="flat" cmpd="sng">
                                  <a:solidFill>
                                    <a:srgbClr val="000000"/>
                                  </a:solidFill>
                                  <a:prstDash val="solid"/>
                                  <a:headEnd type="none" w="med" len="med"/>
                                  <a:tailEnd type="none" w="med" len="med"/>
                                </a:ln>
                                <a:effectLst/>
                              </wps:spPr>
                              <wps:bodyPr/>
                            </wps:wsp>
                            <wpg:grpSp>
                              <wpg:cNvPr id="19" name="组合 84"/>
                              <wpg:cNvGrpSpPr/>
                              <wpg:grpSpPr>
                                <a:xfrm>
                                  <a:off x="5567" y="0"/>
                                  <a:ext cx="10151" cy="13409"/>
                                  <a:chOff x="5567" y="0"/>
                                  <a:chExt cx="10151" cy="13409"/>
                                </a:xfrm>
                                <a:effectLst/>
                              </wpg:grpSpPr>
                              <wpg:grpSp>
                                <wpg:cNvPr id="20" name="组合 83"/>
                                <wpg:cNvGrpSpPr/>
                                <wpg:grpSpPr>
                                  <a:xfrm>
                                    <a:off x="6699" y="2761"/>
                                    <a:ext cx="7561" cy="10648"/>
                                    <a:chOff x="4390" y="0"/>
                                    <a:chExt cx="7560" cy="10648"/>
                                  </a:xfrm>
                                  <a:effectLst/>
                                </wpg:grpSpPr>
                                <wps:wsp>
                                  <wps:cNvPr id="21" name="直接连接符 78"/>
                                  <wps:cNvCnPr/>
                                  <wps:spPr>
                                    <a:xfrm>
                                      <a:off x="11950" y="0"/>
                                      <a:ext cx="0" cy="5562"/>
                                    </a:xfrm>
                                    <a:prstGeom prst="line">
                                      <a:avLst/>
                                    </a:prstGeom>
                                    <a:ln w="9525" cap="flat" cmpd="sng">
                                      <a:solidFill>
                                        <a:srgbClr val="000000"/>
                                      </a:solidFill>
                                      <a:prstDash val="solid"/>
                                      <a:headEnd type="none" w="med" len="med"/>
                                      <a:tailEnd type="none" w="med" len="med"/>
                                    </a:ln>
                                    <a:effectLst/>
                                  </wps:spPr>
                                  <wps:bodyPr/>
                                </wps:wsp>
                                <wps:wsp>
                                  <wps:cNvPr id="22" name="直接连接符 79"/>
                                  <wps:cNvCnPr/>
                                  <wps:spPr>
                                    <a:xfrm>
                                      <a:off x="8057" y="0"/>
                                      <a:ext cx="0" cy="8159"/>
                                    </a:xfrm>
                                    <a:prstGeom prst="line">
                                      <a:avLst/>
                                    </a:prstGeom>
                                    <a:ln w="9525" cap="flat" cmpd="sng">
                                      <a:solidFill>
                                        <a:srgbClr val="000000"/>
                                      </a:solidFill>
                                      <a:prstDash val="solid"/>
                                      <a:headEnd type="none" w="med" len="med"/>
                                      <a:tailEnd type="none" w="med" len="med"/>
                                    </a:ln>
                                    <a:effectLst/>
                                  </wps:spPr>
                                  <wps:bodyPr/>
                                </wps:wsp>
                                <wps:wsp>
                                  <wps:cNvPr id="23" name="直接连接符 80"/>
                                  <wps:cNvCnPr/>
                                  <wps:spPr>
                                    <a:xfrm>
                                      <a:off x="4390" y="0"/>
                                      <a:ext cx="0" cy="10648"/>
                                    </a:xfrm>
                                    <a:prstGeom prst="line">
                                      <a:avLst/>
                                    </a:prstGeom>
                                    <a:ln w="9525" cap="flat" cmpd="sng">
                                      <a:solidFill>
                                        <a:srgbClr val="000000"/>
                                      </a:solidFill>
                                      <a:prstDash val="solid"/>
                                      <a:headEnd type="none" w="med" len="med"/>
                                      <a:tailEnd type="none" w="med" len="med"/>
                                    </a:ln>
                                    <a:effectLst/>
                                  </wps:spPr>
                                  <wps:bodyPr/>
                                </wps:wsp>
                              </wpg:grpSp>
                              <wps:wsp>
                                <wps:cNvPr id="24" name="直接连接符 68"/>
                                <wps:cNvCnPr/>
                                <wps:spPr>
                                  <a:xfrm>
                                    <a:off x="5567" y="2716"/>
                                    <a:ext cx="2464" cy="0"/>
                                  </a:xfrm>
                                  <a:prstGeom prst="line">
                                    <a:avLst/>
                                  </a:prstGeom>
                                  <a:ln w="9525" cap="flat" cmpd="sng">
                                    <a:solidFill>
                                      <a:srgbClr val="000000"/>
                                    </a:solidFill>
                                    <a:prstDash val="solid"/>
                                    <a:headEnd type="none" w="med" len="med"/>
                                    <a:tailEnd type="none" w="med" len="med"/>
                                  </a:ln>
                                  <a:effectLst/>
                                </wps:spPr>
                                <wps:bodyPr/>
                              </wps:wsp>
                              <wps:wsp>
                                <wps:cNvPr id="25" name="直接连接符 69"/>
                                <wps:cNvCnPr/>
                                <wps:spPr>
                                  <a:xfrm>
                                    <a:off x="9234" y="2716"/>
                                    <a:ext cx="2464" cy="0"/>
                                  </a:xfrm>
                                  <a:prstGeom prst="line">
                                    <a:avLst/>
                                  </a:prstGeom>
                                  <a:ln w="9525" cap="flat" cmpd="sng">
                                    <a:solidFill>
                                      <a:srgbClr val="000000"/>
                                    </a:solidFill>
                                    <a:prstDash val="solid"/>
                                    <a:headEnd type="none" w="med" len="med"/>
                                    <a:tailEnd type="none" w="med" len="med"/>
                                  </a:ln>
                                  <a:effectLst/>
                                </wps:spPr>
                                <wps:bodyPr/>
                              </wps:wsp>
                              <wpg:grpSp>
                                <wpg:cNvPr id="26" name="组合 82"/>
                                <wpg:cNvGrpSpPr/>
                                <wpg:grpSpPr>
                                  <a:xfrm>
                                    <a:off x="5703" y="0"/>
                                    <a:ext cx="10015" cy="1981"/>
                                    <a:chOff x="5703" y="0"/>
                                    <a:chExt cx="10015" cy="1981"/>
                                  </a:xfrm>
                                  <a:effectLst/>
                                </wpg:grpSpPr>
                                <wps:wsp>
                                  <wps:cNvPr id="27" name="矩形 66"/>
                                  <wps:cNvSpPr/>
                                  <wps:spPr>
                                    <a:xfrm>
                                      <a:off x="9234" y="0"/>
                                      <a:ext cx="2286" cy="1981"/>
                                    </a:xfrm>
                                    <a:prstGeom prst="rect">
                                      <a:avLst/>
                                    </a:prstGeom>
                                    <a:solidFill>
                                      <a:srgbClr val="FFFFFF"/>
                                    </a:solidFill>
                                    <a:ln w="9525" cap="flat" cmpd="sng">
                                      <a:solidFill>
                                        <a:srgbClr val="000000"/>
                                      </a:solidFill>
                                      <a:prstDash val="solid"/>
                                      <a:miter/>
                                      <a:headEnd type="none" w="med" len="med"/>
                                      <a:tailEnd type="none" w="med" len="med"/>
                                    </a:ln>
                                    <a:effectLst/>
                                  </wps:spPr>
                                  <wps:bodyPr anchor="ctr" upright="1"/>
                                </wps:wsp>
                                <wps:wsp>
                                  <wps:cNvPr id="28" name="矩形 71"/>
                                  <wps:cNvSpPr/>
                                  <wps:spPr>
                                    <a:xfrm>
                                      <a:off x="5703" y="0"/>
                                      <a:ext cx="2286" cy="1981"/>
                                    </a:xfrm>
                                    <a:prstGeom prst="rect">
                                      <a:avLst/>
                                    </a:prstGeom>
                                    <a:solidFill>
                                      <a:srgbClr val="FFFFFF"/>
                                    </a:solidFill>
                                    <a:ln w="9525" cap="flat" cmpd="sng">
                                      <a:solidFill>
                                        <a:srgbClr val="000000"/>
                                      </a:solidFill>
                                      <a:prstDash val="solid"/>
                                      <a:miter/>
                                      <a:headEnd type="none" w="med" len="med"/>
                                      <a:tailEnd type="none" w="med" len="med"/>
                                    </a:ln>
                                    <a:effectLst/>
                                  </wps:spPr>
                                  <wps:bodyPr anchor="ctr" upright="1"/>
                                </wps:wsp>
                                <wps:wsp>
                                  <wps:cNvPr id="29" name="矩形 72"/>
                                  <wps:cNvSpPr/>
                                  <wps:spPr>
                                    <a:xfrm>
                                      <a:off x="12765" y="90"/>
                                      <a:ext cx="2953" cy="1886"/>
                                    </a:xfrm>
                                    <a:prstGeom prst="rect">
                                      <a:avLst/>
                                    </a:prstGeom>
                                    <a:solidFill>
                                      <a:srgbClr val="FFFFFF"/>
                                    </a:solidFill>
                                    <a:ln w="9525" cap="flat" cmpd="sng">
                                      <a:solidFill>
                                        <a:srgbClr val="000000"/>
                                      </a:solidFill>
                                      <a:prstDash val="solid"/>
                                      <a:miter/>
                                      <a:headEnd type="none" w="med" len="med"/>
                                      <a:tailEnd type="none" w="med" len="med"/>
                                    </a:ln>
                                    <a:effectLst/>
                                  </wps:spPr>
                                  <wps:bodyPr anchor="ctr" upright="1"/>
                                </wps:wsp>
                              </wpg:grpSp>
                              <wps:wsp>
                                <wps:cNvPr id="30" name="直接连接符 77"/>
                                <wps:cNvCnPr/>
                                <wps:spPr>
                                  <a:xfrm>
                                    <a:off x="12855" y="2716"/>
                                    <a:ext cx="2763" cy="45"/>
                                  </a:xfrm>
                                  <a:prstGeom prst="line">
                                    <a:avLst/>
                                  </a:prstGeom>
                                  <a:ln w="9525" cap="flat" cmpd="sng">
                                    <a:solidFill>
                                      <a:srgbClr val="000000"/>
                                    </a:solidFill>
                                    <a:prstDash val="solid"/>
                                    <a:headEnd type="none" w="med" len="med"/>
                                    <a:tailEnd type="none" w="med" len="med"/>
                                  </a:ln>
                                  <a:effectLst/>
                                </wps:spPr>
                                <wps:bodyPr/>
                              </wps:wsp>
                            </wpg:grpSp>
                          </wpg:grpSp>
                        </wpg:grpSp>
                        <wps:wsp>
                          <wps:cNvPr id="31" name="文本框 85"/>
                          <wps:cNvSpPr txBox="1"/>
                          <wps:spPr>
                            <a:xfrm>
                              <a:off x="21864" y="6744"/>
                              <a:ext cx="12765" cy="3214"/>
                            </a:xfrm>
                            <a:prstGeom prst="rect">
                              <a:avLst/>
                            </a:prstGeom>
                            <a:solidFill>
                              <a:srgbClr val="FFFFFF"/>
                            </a:solidFill>
                            <a:ln w="6350">
                              <a:noFill/>
                            </a:ln>
                            <a:effectLst/>
                          </wps:spPr>
                          <wps:txbx>
                            <w:txbxContent>
                              <w:p w14:paraId="62DCA923">
                                <w:pPr>
                                  <w:spacing w:line="240" w:lineRule="auto"/>
                                </w:pPr>
                                <w:r>
                                  <w:rPr>
                                    <w:rFonts w:hint="eastAsia" w:hAnsi="宋体"/>
                                    <w:color w:val="000000"/>
                                  </w:rPr>
                                  <w:t>规格代号</w:t>
                                </w:r>
                              </w:p>
                            </w:txbxContent>
                          </wps:txbx>
                          <wps:bodyPr anchor="ctr" upright="1"/>
                        </wps:wsp>
                        <wps:wsp>
                          <wps:cNvPr id="32" name="文本框 89"/>
                          <wps:cNvSpPr txBox="1"/>
                          <wps:spPr>
                            <a:xfrm>
                              <a:off x="21864" y="9415"/>
                              <a:ext cx="12765" cy="2716"/>
                            </a:xfrm>
                            <a:prstGeom prst="rect">
                              <a:avLst/>
                            </a:prstGeom>
                            <a:noFill/>
                            <a:ln w="6350">
                              <a:noFill/>
                            </a:ln>
                            <a:effectLst/>
                          </wps:spPr>
                          <wps:txbx>
                            <w:txbxContent>
                              <w:p w14:paraId="44AB6450">
                                <w:pPr>
                                  <w:spacing w:line="240" w:lineRule="auto"/>
                                </w:pPr>
                                <w:r>
                                  <w:rPr>
                                    <w:rFonts w:hint="eastAsia" w:hAnsi="宋体"/>
                                  </w:rPr>
                                  <w:t>型式</w:t>
                                </w:r>
                                <w:r>
                                  <w:rPr>
                                    <w:rFonts w:hint="eastAsia" w:hAnsi="宋体"/>
                                    <w:color w:val="000000"/>
                                  </w:rPr>
                                  <w:t>代号</w:t>
                                </w:r>
                              </w:p>
                            </w:txbxContent>
                          </wps:txbx>
                          <wps:bodyPr anchor="ctr" upright="1"/>
                        </wps:wsp>
                      </wpg:grpSp>
                    </wpg:wgp>
                  </a:graphicData>
                </a:graphic>
              </wp:inline>
            </w:drawing>
          </mc:Choice>
          <mc:Fallback>
            <w:pict>
              <v:group id="_x0000_s1026" o:spid="_x0000_s1026" o:spt="203" style="height:128.85pt;width:235.1pt;" coordorigin="5567,0" coordsize="29062,15119" o:gfxdata="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">
                <o:lock v:ext="edit" aspectratio="f"/>
                <v:shape id="文本框 90" o:spid="_x0000_s1026" o:spt="202" type="#_x0000_t202" style="position:absolute;left:21818;top:12131;height:2988;width:12766;v-text-anchor:middle;" fillcolor="#FFFFFF" filled="t" stroked="f" coordsize="21600,21600" o:gfxdata="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Ah6FbsAAADa&#10;AAAADwAAAAAAAAABACAAAAAiAAAAZHJzL2Rvd25yZXYueG1sUEsBAhQAFAAAAAgAh07iQDMvBZ47&#10;AAAAOQAAABAAAAAAAAAAAQAgAAAACgEAAGRycy9zaGFwZXhtbC54bWxQSwUGAAAAAAYABgBbAQAA&#10;tAMAAAAA&#10;">
                  <v:fill on="t" focussize="0,0"/>
                  <v:stroke on="f" weight="0.5pt"/>
                  <v:imagedata o:title=""/>
                  <o:lock v:ext="edit" aspectratio="f"/>
                  <v:textbox>
                    <w:txbxContent>
                      <w:p w14:paraId="1F904896">
                        <w:pPr>
                          <w:spacing w:line="240" w:lineRule="auto"/>
                        </w:pPr>
                        <w:r>
                          <w:rPr>
                            <w:rFonts w:hint="eastAsia" w:hAnsi="宋体"/>
                          </w:rPr>
                          <w:t>名称代号</w:t>
                        </w:r>
                      </w:p>
                      <w:p w14:paraId="7D3D767C">
                        <w:pPr>
                          <w:spacing w:line="240" w:lineRule="auto"/>
                        </w:pPr>
                      </w:p>
                    </w:txbxContent>
                  </v:textbox>
                </v:shape>
                <v:group id="组合 92" o:spid="_x0000_s1026" o:spt="203" style="position:absolute;left:5567;top:0;height:13409;width:29062;" coordorigin="5567,0" coordsize="29062,13409"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group id="组合 87" o:spid="_x0000_s1026" o:spt="203" style="position:absolute;left:5567;top:0;height:13409;width:15950;" coordorigin="5567,0" coordsize="15950,13409"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line id="直接连接符 31" o:spid="_x0000_s1026" o:spt="20" style="position:absolute;left:6699;top:13399;height:0;width:14802;" filled="f" stroked="t" coordsize="21600,21600" o:gfxdata="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7iYe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id="组合 86" o:spid="_x0000_s1026" o:spt="203" style="position:absolute;left:5567;top:0;height:13409;width:15950;" coordorigin="5567,0" coordsize="15950,13409"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line id="直接连接符 64" o:spid="_x0000_s1026" o:spt="20" style="position:absolute;left:10411;top:10909;height:0;width:11106;" filled="f" stroked="t" coordsize="21600,21600" o:gfxdata="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jVSN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接连接符 65" o:spid="_x0000_s1026" o:spt="20" style="position:absolute;left:14259;top:8329;height:5;width:7255;" filled="f" stroked="t" coordsize="21600,21600" o:gfxdata="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Urcrr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group id="组合 84" o:spid="_x0000_s1026" o:spt="203" style="position:absolute;left:5567;top:0;height:13409;width:10151;" coordorigin="5567,0" coordsize="10151,13409"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group id="组合 83" o:spid="_x0000_s1026" o:spt="203" style="position:absolute;left:6699;top:2761;height:10648;width:7561;" coordorigin="4390,0" coordsize="7560,10648"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line id="直接连接符 78" o:spid="_x0000_s1026" o:spt="20" style="position:absolute;left:11950;top:0;height:5562;width:0;" filled="f" stroked="t" coordsize="21600,21600" o:gfxdata="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cv46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接连接符 79" o:spid="_x0000_s1026" o:spt="20" style="position:absolute;left:8057;top:0;height:8159;width:0;" filled="f" stroked="t" coordsize="21600,21600" o:gfxdata="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ziH5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接连接符 80" o:spid="_x0000_s1026" o:spt="20" style="position:absolute;left:4390;top:0;height:10648;width:0;" filled="f" stroked="t" coordsize="21600,21600" o:gfxdata="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mChGK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v:line id="直接连接符 68" o:spid="_x0000_s1026" o:spt="20" style="position:absolute;left:5567;top:2716;height:0;width:2464;" filled="f" stroked="t" coordsize="21600,21600" o:gfxdata="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axw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接连接符 69" o:spid="_x0000_s1026" o:spt="20" style="position:absolute;left:9234;top:2716;height:0;width:2464;" filled="f" stroked="t" coordsize="21600,21600" o:gfxdata="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J7mN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id="组合 82" o:spid="_x0000_s1026" o:spt="203" style="position:absolute;left:5703;top:0;height:1981;width:10015;" coordorigin="5703,0" coordsize="10015,1981" o:gfxdata="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zHZke+AAAA2wAAAA8AAAAAAAAAAQAgAAAAIgAAAGRycy9kb3ducmV2Lnht&#10;bFBLAQIUABQAAAAIAIdO4kAzLwWeOwAAADkAAAAVAAAAAAAAAAEAIAAAAA0BAABkcnMvZ3JvdXBz&#10;aGFwZXhtbC54bWxQSwUGAAAAAAYABgBgAQAAygMAAAAA&#10;">
                          <o:lock v:ext="edit" aspectratio="f"/>
                          <v:rect id="矩形 66" o:spid="_x0000_s1026" o:spt="1" style="position:absolute;left:9234;top:0;height:1981;width:2286;v-text-anchor:middle;" fillcolor="#FFFFFF" filled="t" stroked="t" coordsize="21600,21600" o:gfxdata="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CTAH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rect>
                          <v:rect id="矩形 71" o:spid="_x0000_s1026" o:spt="1" style="position:absolute;left:5703;top:0;height:1981;width:2286;v-text-anchor:middle;" fillcolor="#FFFFFF" filled="t" stroked="t" coordsize="21600,21600" o:gfxdata="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btUb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rect>
                          <v:rect id="矩形 72" o:spid="_x0000_s1026" o:spt="1" style="position:absolute;left:12765;top:90;height:1886;width:2953;v-text-anchor:middle;" fillcolor="#FFFFFF" filled="t" stroked="t" coordsize="21600,21600" o:gfxdata="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vfx9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rect>
                        </v:group>
                        <v:line id="直接连接符 77" o:spid="_x0000_s1026" o:spt="20" style="position:absolute;left:12855;top:2716;height:45;width:2763;" filled="f" stroked="t" coordsize="21600,21600" o:gfxdata="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yJjMi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group>
                    </v:group>
                  </v:group>
                  <v:shape id="文本框 85" o:spid="_x0000_s1026" o:spt="202" type="#_x0000_t202" style="position:absolute;left:21864;top:6744;height:3214;width:12765;v-text-anchor:middle;" fillcolor="#FFFFFF" filled="t" stroked="f" coordsize="21600,21600" o:gfxdata="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ph9G7sAAADb&#10;AAAADwAAAAAAAAABACAAAAAiAAAAZHJzL2Rvd25yZXYueG1sUEsBAhQAFAAAAAgAh07iQDMvBZ47&#10;AAAAOQAAABAAAAAAAAAAAQAgAAAACgEAAGRycy9zaGFwZXhtbC54bWxQSwUGAAAAAAYABgBbAQAA&#10;tAMAAAAA&#10;">
                    <v:fill on="t" focussize="0,0"/>
                    <v:stroke on="f" weight="0.5pt"/>
                    <v:imagedata o:title=""/>
                    <o:lock v:ext="edit" aspectratio="f"/>
                    <v:textbox>
                      <w:txbxContent>
                        <w:p w14:paraId="62DCA923">
                          <w:pPr>
                            <w:spacing w:line="240" w:lineRule="auto"/>
                          </w:pPr>
                          <w:r>
                            <w:rPr>
                              <w:rFonts w:hint="eastAsia" w:hAnsi="宋体"/>
                              <w:color w:val="000000"/>
                            </w:rPr>
                            <w:t>规格代号</w:t>
                          </w:r>
                        </w:p>
                      </w:txbxContent>
                    </v:textbox>
                  </v:shape>
                  <v:shape id="文本框 89" o:spid="_x0000_s1026" o:spt="202" type="#_x0000_t202" style="position:absolute;left:21864;top:9415;height:2716;width:12765;v-text-anchor:middle;" filled="f" stroked="f" coordsize="21600,21600" o:gfxdata="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vUcNr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44AB6450">
                          <w:pPr>
                            <w:spacing w:line="240" w:lineRule="auto"/>
                          </w:pPr>
                          <w:r>
                            <w:rPr>
                              <w:rFonts w:hint="eastAsia" w:hAnsi="宋体"/>
                            </w:rPr>
                            <w:t>型式</w:t>
                          </w:r>
                          <w:r>
                            <w:rPr>
                              <w:rFonts w:hint="eastAsia" w:hAnsi="宋体"/>
                              <w:color w:val="000000"/>
                            </w:rPr>
                            <w:t>代号</w:t>
                          </w:r>
                        </w:p>
                      </w:txbxContent>
                    </v:textbox>
                  </v:shape>
                </v:group>
                <w10:wrap type="none"/>
                <w10:anchorlock/>
              </v:group>
            </w:pict>
          </mc:Fallback>
        </mc:AlternateContent>
      </w:r>
    </w:p>
    <w:p w14:paraId="165D0848">
      <w:pPr>
        <w:pStyle w:val="13"/>
        <w:adjustRightInd/>
        <w:spacing w:line="240" w:lineRule="auto"/>
        <w:jc w:val="center"/>
        <w:rPr>
          <w:rFonts w:hint="eastAsia" w:ascii="黑体" w:hAnsi="黑体" w:cs="黑体"/>
          <w:kern w:val="0"/>
          <w:sz w:val="21"/>
          <w:szCs w:val="21"/>
        </w:rPr>
      </w:pPr>
      <w:r>
        <w:rPr>
          <w:rFonts w:hint="eastAsia" w:ascii="黑体" w:hAnsi="黑体" w:cs="黑体"/>
          <w:sz w:val="21"/>
          <w:szCs w:val="21"/>
        </w:rPr>
        <w:t xml:space="preserve">图 </w:t>
      </w:r>
      <w:r>
        <w:rPr>
          <w:rFonts w:hint="eastAsia" w:ascii="黑体" w:hAnsi="黑体" w:cs="黑体"/>
          <w:sz w:val="21"/>
          <w:szCs w:val="21"/>
        </w:rPr>
        <w:fldChar w:fldCharType="begin"/>
      </w:r>
      <w:r>
        <w:rPr>
          <w:rFonts w:hint="eastAsia" w:ascii="黑体" w:hAnsi="黑体" w:cs="黑体"/>
          <w:sz w:val="21"/>
          <w:szCs w:val="21"/>
        </w:rPr>
        <w:instrText xml:space="preserve"> SEQ 图 \* ARABIC </w:instrText>
      </w:r>
      <w:r>
        <w:rPr>
          <w:rFonts w:hint="eastAsia" w:ascii="黑体" w:hAnsi="黑体" w:cs="黑体"/>
          <w:sz w:val="21"/>
          <w:szCs w:val="21"/>
        </w:rPr>
        <w:fldChar w:fldCharType="separate"/>
      </w:r>
      <w:r>
        <w:rPr>
          <w:rFonts w:hint="eastAsia" w:ascii="黑体" w:hAnsi="黑体" w:cs="黑体"/>
          <w:sz w:val="21"/>
          <w:szCs w:val="21"/>
        </w:rPr>
        <w:t>1</w:t>
      </w:r>
      <w:r>
        <w:rPr>
          <w:rFonts w:hint="eastAsia" w:ascii="黑体" w:hAnsi="黑体" w:cs="黑体"/>
          <w:sz w:val="21"/>
          <w:szCs w:val="21"/>
        </w:rPr>
        <w:fldChar w:fldCharType="end"/>
      </w:r>
      <w:bookmarkStart w:id="391" w:name="_Toc31157"/>
      <w:bookmarkStart w:id="392" w:name="_Toc8293"/>
      <w:bookmarkStart w:id="393" w:name="_Toc23988"/>
      <w:bookmarkStart w:id="394" w:name="_Toc389"/>
      <w:bookmarkStart w:id="395" w:name="_Toc15874"/>
      <w:r>
        <w:rPr>
          <w:rFonts w:hint="eastAsia" w:ascii="黑体" w:hAnsi="黑体" w:cs="黑体"/>
          <w:sz w:val="21"/>
          <w:szCs w:val="21"/>
        </w:rPr>
        <w:t xml:space="preserve"> 谷类清洗浸泡成套设备</w:t>
      </w:r>
      <w:bookmarkEnd w:id="391"/>
      <w:r>
        <w:rPr>
          <w:rFonts w:hint="eastAsia" w:ascii="黑体" w:hAnsi="黑体" w:cs="黑体"/>
          <w:sz w:val="21"/>
          <w:szCs w:val="21"/>
        </w:rPr>
        <w:t>型号组成</w:t>
      </w:r>
      <w:bookmarkEnd w:id="392"/>
      <w:bookmarkEnd w:id="393"/>
      <w:bookmarkEnd w:id="394"/>
      <w:bookmarkEnd w:id="395"/>
    </w:p>
    <w:p w14:paraId="0A13615E">
      <w:pPr>
        <w:adjustRightInd/>
        <w:spacing w:line="360" w:lineRule="exact"/>
        <w:ind w:firstLine="360" w:firstLineChars="200"/>
        <w:jc w:val="both"/>
        <w:rPr>
          <w:rFonts w:hint="eastAsia" w:ascii="黑体" w:hAnsi="黑体" w:eastAsia="黑体" w:cs="黑体"/>
          <w:kern w:val="0"/>
          <w:sz w:val="18"/>
          <w:szCs w:val="18"/>
        </w:rPr>
      </w:pPr>
      <w:r>
        <w:rPr>
          <w:rFonts w:hint="eastAsia" w:ascii="黑体" w:hAnsi="黑体" w:eastAsia="黑体" w:cs="黑体"/>
          <w:kern w:val="0"/>
          <w:sz w:val="18"/>
          <w:szCs w:val="18"/>
        </w:rPr>
        <w:t>示例：</w:t>
      </w:r>
    </w:p>
    <w:p w14:paraId="248AFC66">
      <w:pPr>
        <w:adjustRightInd/>
        <w:spacing w:line="240" w:lineRule="auto"/>
        <w:ind w:firstLine="360" w:firstLineChars="200"/>
        <w:rPr>
          <w:rFonts w:ascii="宋体"/>
          <w:kern w:val="0"/>
          <w:sz w:val="18"/>
          <w:szCs w:val="18"/>
        </w:rPr>
      </w:pPr>
      <w:r>
        <w:rPr>
          <w:rFonts w:hint="eastAsia" w:ascii="宋体"/>
          <w:kern w:val="0"/>
          <w:sz w:val="18"/>
          <w:szCs w:val="18"/>
        </w:rPr>
        <w:t>QP S 260表示额定加工能力为260 kg/m</w:t>
      </w:r>
      <w:r>
        <w:rPr>
          <w:rFonts w:hint="eastAsia" w:ascii="宋体"/>
          <w:kern w:val="0"/>
          <w:sz w:val="18"/>
          <w:szCs w:val="18"/>
          <w:vertAlign w:val="superscript"/>
        </w:rPr>
        <w:t>3</w:t>
      </w:r>
      <w:r>
        <w:rPr>
          <w:rFonts w:hint="eastAsia" w:ascii="宋体"/>
          <w:kern w:val="0"/>
          <w:sz w:val="18"/>
          <w:szCs w:val="18"/>
        </w:rPr>
        <w:t>的豆菽类清洗浸泡成套设备。</w:t>
      </w:r>
    </w:p>
    <w:p w14:paraId="03019B74">
      <w:pPr>
        <w:pStyle w:val="114"/>
        <w:numPr>
          <w:ilvl w:val="2"/>
          <w:numId w:val="35"/>
        </w:numPr>
        <w:spacing w:before="120" w:after="120"/>
        <w:rPr>
          <w:rFonts w:hint="eastAsia" w:hAnsi="黑体"/>
          <w:szCs w:val="21"/>
        </w:rPr>
      </w:pPr>
      <w:bookmarkStart w:id="396" w:name="_Toc196411802"/>
      <w:bookmarkStart w:id="397" w:name="_Toc25661"/>
      <w:bookmarkStart w:id="398" w:name="_Toc4153"/>
      <w:bookmarkStart w:id="399" w:name="_Toc208854185"/>
      <w:bookmarkStart w:id="400" w:name="_Toc27277"/>
      <w:bookmarkStart w:id="401" w:name="_Toc29940"/>
      <w:bookmarkStart w:id="402" w:name="_Toc4890"/>
      <w:bookmarkStart w:id="403" w:name="_Toc28497"/>
      <w:r>
        <w:rPr>
          <w:rFonts w:hint="eastAsia" w:hAnsi="黑体"/>
          <w:szCs w:val="21"/>
        </w:rPr>
        <w:t>组成</w:t>
      </w:r>
      <w:bookmarkEnd w:id="390"/>
      <w:bookmarkEnd w:id="396"/>
      <w:bookmarkEnd w:id="397"/>
      <w:bookmarkEnd w:id="398"/>
      <w:bookmarkEnd w:id="399"/>
      <w:bookmarkEnd w:id="400"/>
      <w:bookmarkEnd w:id="401"/>
      <w:bookmarkEnd w:id="402"/>
      <w:bookmarkEnd w:id="403"/>
    </w:p>
    <w:p w14:paraId="6FB56A6C">
      <w:pPr>
        <w:numPr>
          <w:ilvl w:val="3"/>
          <w:numId w:val="35"/>
        </w:numPr>
        <w:adjustRightInd/>
        <w:spacing w:line="240" w:lineRule="auto"/>
        <w:jc w:val="both"/>
        <w:outlineLvl w:val="2"/>
        <w:rPr>
          <w:rFonts w:ascii="Times New Roman" w:hAnsi="Times New Roman"/>
          <w:kern w:val="0"/>
        </w:rPr>
      </w:pPr>
      <w:r>
        <w:rPr>
          <w:rFonts w:hint="eastAsia" w:ascii="Times New Roman" w:hAnsi="Times New Roman"/>
          <w:kern w:val="0"/>
        </w:rPr>
        <w:t>成套设备的基本配置应</w:t>
      </w:r>
      <w:r>
        <w:rPr>
          <w:rFonts w:hint="eastAsia" w:ascii="Times New Roman" w:hAnsi="Times New Roman"/>
        </w:rPr>
        <w:t>包括</w:t>
      </w:r>
      <w:r>
        <w:rPr>
          <w:rFonts w:hint="eastAsia" w:ascii="Times New Roman" w:hAnsi="Times New Roman"/>
          <w:kern w:val="0"/>
        </w:rPr>
        <w:t>下列设备：</w:t>
      </w:r>
    </w:p>
    <w:p w14:paraId="1DC0990D">
      <w:pPr>
        <w:pStyle w:val="65"/>
        <w:numPr>
          <w:ilvl w:val="0"/>
          <w:numId w:val="36"/>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提升设备；</w:t>
      </w:r>
    </w:p>
    <w:p w14:paraId="00BC5893">
      <w:pPr>
        <w:pStyle w:val="65"/>
        <w:numPr>
          <w:ilvl w:val="0"/>
          <w:numId w:val="36"/>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暂存设备；</w:t>
      </w:r>
    </w:p>
    <w:p w14:paraId="549EB281">
      <w:pPr>
        <w:pStyle w:val="65"/>
        <w:numPr>
          <w:ilvl w:val="0"/>
          <w:numId w:val="36"/>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称重设备；</w:t>
      </w:r>
    </w:p>
    <w:p w14:paraId="6732D40E">
      <w:pPr>
        <w:pStyle w:val="65"/>
        <w:numPr>
          <w:ilvl w:val="0"/>
          <w:numId w:val="36"/>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分料设备；</w:t>
      </w:r>
    </w:p>
    <w:p w14:paraId="23FE168C">
      <w:pPr>
        <w:pStyle w:val="65"/>
        <w:numPr>
          <w:ilvl w:val="0"/>
          <w:numId w:val="36"/>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清洗浸泡设备；</w:t>
      </w:r>
    </w:p>
    <w:p w14:paraId="65B3BD31">
      <w:pPr>
        <w:pStyle w:val="65"/>
        <w:numPr>
          <w:ilvl w:val="0"/>
          <w:numId w:val="36"/>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沥水设备。</w:t>
      </w:r>
    </w:p>
    <w:p w14:paraId="3B6DF3D1">
      <w:pPr>
        <w:numPr>
          <w:ilvl w:val="3"/>
          <w:numId w:val="35"/>
        </w:numPr>
        <w:adjustRightInd/>
        <w:spacing w:line="240" w:lineRule="auto"/>
        <w:jc w:val="both"/>
        <w:outlineLvl w:val="2"/>
        <w:rPr>
          <w:rFonts w:ascii="Times New Roman" w:hAnsi="Times New Roman"/>
          <w:kern w:val="0"/>
        </w:rPr>
      </w:pPr>
      <w:r>
        <w:rPr>
          <w:rFonts w:hint="eastAsia" w:ascii="Times New Roman" w:hAnsi="Times New Roman"/>
          <w:kern w:val="0"/>
        </w:rPr>
        <w:t>成套设备可选配置包括但不限于下列设备：</w:t>
      </w:r>
    </w:p>
    <w:p w14:paraId="042F6BCD">
      <w:pPr>
        <w:pStyle w:val="65"/>
        <w:numPr>
          <w:ilvl w:val="4"/>
          <w:numId w:val="37"/>
        </w:numPr>
        <w:ind w:left="0" w:firstLine="420"/>
        <w:rPr>
          <w:rFonts w:ascii="Times New Roman"/>
          <w:szCs w:val="21"/>
        </w:rPr>
      </w:pPr>
      <w:r>
        <w:rPr>
          <w:rFonts w:hint="eastAsia" w:ascii="Times New Roman"/>
          <w:szCs w:val="21"/>
        </w:rPr>
        <w:t>风选设备；</w:t>
      </w:r>
    </w:p>
    <w:p w14:paraId="2A4746E7">
      <w:pPr>
        <w:pStyle w:val="65"/>
        <w:numPr>
          <w:ilvl w:val="4"/>
          <w:numId w:val="37"/>
        </w:numPr>
        <w:ind w:left="0" w:firstLine="420"/>
        <w:rPr>
          <w:rFonts w:ascii="Times New Roman"/>
          <w:szCs w:val="21"/>
        </w:rPr>
      </w:pPr>
      <w:r>
        <w:rPr>
          <w:rFonts w:hint="eastAsia" w:ascii="Times New Roman"/>
          <w:szCs w:val="21"/>
        </w:rPr>
        <w:t>筛分设备；</w:t>
      </w:r>
    </w:p>
    <w:p w14:paraId="0B77E4F0">
      <w:pPr>
        <w:pStyle w:val="65"/>
        <w:numPr>
          <w:ilvl w:val="4"/>
          <w:numId w:val="37"/>
        </w:numPr>
        <w:ind w:left="0" w:firstLine="420"/>
        <w:rPr>
          <w:rFonts w:ascii="Times New Roman"/>
          <w:szCs w:val="21"/>
        </w:rPr>
      </w:pPr>
      <w:r>
        <w:rPr>
          <w:rFonts w:hint="eastAsia" w:ascii="Times New Roman"/>
          <w:szCs w:val="21"/>
        </w:rPr>
        <w:t>检测设备；</w:t>
      </w:r>
    </w:p>
    <w:p w14:paraId="11967693">
      <w:pPr>
        <w:pStyle w:val="65"/>
        <w:numPr>
          <w:ilvl w:val="4"/>
          <w:numId w:val="37"/>
        </w:numPr>
        <w:ind w:left="0" w:firstLine="420"/>
        <w:rPr>
          <w:rFonts w:ascii="Times New Roman"/>
          <w:szCs w:val="21"/>
        </w:rPr>
      </w:pPr>
      <w:r>
        <w:rPr>
          <w:rFonts w:hint="eastAsia" w:ascii="Times New Roman"/>
          <w:szCs w:val="21"/>
        </w:rPr>
        <w:t>剔除设备；</w:t>
      </w:r>
    </w:p>
    <w:p w14:paraId="544F9F65">
      <w:pPr>
        <w:pStyle w:val="65"/>
        <w:numPr>
          <w:ilvl w:val="4"/>
          <w:numId w:val="37"/>
        </w:numPr>
        <w:ind w:left="0" w:firstLine="420"/>
        <w:rPr>
          <w:rFonts w:ascii="Times New Roman"/>
          <w:szCs w:val="21"/>
        </w:rPr>
      </w:pPr>
      <w:r>
        <w:rPr>
          <w:rFonts w:hint="eastAsia" w:ascii="Times New Roman"/>
          <w:szCs w:val="21"/>
        </w:rPr>
        <w:t>投料设备；</w:t>
      </w:r>
    </w:p>
    <w:p w14:paraId="0DA2D62A">
      <w:pPr>
        <w:pStyle w:val="65"/>
        <w:numPr>
          <w:ilvl w:val="4"/>
          <w:numId w:val="37"/>
        </w:numPr>
        <w:ind w:left="0" w:firstLine="420"/>
        <w:rPr>
          <w:rFonts w:ascii="Times New Roman"/>
          <w:szCs w:val="21"/>
        </w:rPr>
      </w:pPr>
      <w:r>
        <w:rPr>
          <w:rFonts w:hint="eastAsia" w:ascii="Times New Roman"/>
          <w:szCs w:val="21"/>
        </w:rPr>
        <w:t>水净化设备。</w:t>
      </w:r>
    </w:p>
    <w:p w14:paraId="3AFEAF06">
      <w:pPr>
        <w:pStyle w:val="268"/>
        <w:numPr>
          <w:ilvl w:val="1"/>
          <w:numId w:val="35"/>
        </w:numPr>
        <w:spacing w:before="240" w:after="240" w:line="240" w:lineRule="auto"/>
        <w:jc w:val="both"/>
        <w:rPr>
          <w:rFonts w:hint="eastAsia"/>
        </w:rPr>
      </w:pPr>
      <w:bookmarkStart w:id="404" w:name="_Toc20838"/>
      <w:bookmarkStart w:id="405" w:name="_Toc710"/>
      <w:bookmarkStart w:id="406" w:name="_Toc27029"/>
      <w:bookmarkStart w:id="407" w:name="_Toc196411882"/>
      <w:bookmarkStart w:id="408" w:name="_Toc208854186"/>
      <w:bookmarkStart w:id="409" w:name="_Toc5486"/>
      <w:bookmarkStart w:id="410" w:name="_Toc29833"/>
      <w:bookmarkStart w:id="411" w:name="_Toc3185"/>
      <w:r>
        <w:rPr>
          <w:rFonts w:hint="eastAsia"/>
        </w:rPr>
        <w:t>技术要求</w:t>
      </w:r>
      <w:bookmarkEnd w:id="404"/>
      <w:bookmarkEnd w:id="405"/>
      <w:bookmarkEnd w:id="406"/>
      <w:bookmarkEnd w:id="407"/>
      <w:bookmarkEnd w:id="408"/>
      <w:bookmarkEnd w:id="409"/>
      <w:bookmarkEnd w:id="410"/>
      <w:bookmarkEnd w:id="411"/>
    </w:p>
    <w:p w14:paraId="578D41A2">
      <w:pPr>
        <w:pStyle w:val="114"/>
        <w:numPr>
          <w:ilvl w:val="2"/>
          <w:numId w:val="35"/>
        </w:numPr>
        <w:spacing w:before="120" w:after="120"/>
        <w:rPr>
          <w:rFonts w:hint="eastAsia" w:hAnsi="黑体"/>
          <w:szCs w:val="21"/>
        </w:rPr>
      </w:pPr>
      <w:bookmarkStart w:id="412" w:name="_Toc14718"/>
      <w:bookmarkStart w:id="413" w:name="_Toc25088"/>
      <w:bookmarkStart w:id="414" w:name="_Toc208854187"/>
      <w:bookmarkStart w:id="415" w:name="_Toc29626"/>
      <w:bookmarkStart w:id="416" w:name="_Toc7361"/>
      <w:bookmarkStart w:id="417" w:name="_Toc28318"/>
      <w:r>
        <w:rPr>
          <w:rFonts w:hint="eastAsia" w:hAnsi="黑体"/>
          <w:szCs w:val="21"/>
        </w:rPr>
        <w:t>材料要求</w:t>
      </w:r>
      <w:bookmarkEnd w:id="412"/>
      <w:bookmarkEnd w:id="413"/>
      <w:bookmarkEnd w:id="414"/>
      <w:bookmarkEnd w:id="415"/>
      <w:bookmarkEnd w:id="416"/>
      <w:bookmarkEnd w:id="417"/>
    </w:p>
    <w:p w14:paraId="611BD67D">
      <w:pPr>
        <w:numPr>
          <w:ilvl w:val="3"/>
          <w:numId w:val="35"/>
        </w:numPr>
        <w:adjustRightInd/>
        <w:spacing w:line="240" w:lineRule="auto"/>
        <w:jc w:val="both"/>
        <w:outlineLvl w:val="2"/>
        <w:rPr>
          <w:rFonts w:hint="eastAsia" w:ascii="宋体" w:hAnsi="宋体"/>
        </w:rPr>
      </w:pPr>
      <w:r>
        <w:rPr>
          <w:rFonts w:hint="eastAsia" w:ascii="宋体" w:hAnsi="宋体"/>
        </w:rPr>
        <w:t>成套设备的结构材料应符合GB 16798的规定。</w:t>
      </w:r>
    </w:p>
    <w:p w14:paraId="0400762B">
      <w:pPr>
        <w:numPr>
          <w:ilvl w:val="3"/>
          <w:numId w:val="35"/>
        </w:numPr>
        <w:adjustRightInd/>
        <w:spacing w:line="240" w:lineRule="auto"/>
        <w:jc w:val="both"/>
        <w:outlineLvl w:val="2"/>
        <w:rPr>
          <w:rFonts w:hint="eastAsia" w:ascii="宋体" w:hAnsi="宋体"/>
        </w:rPr>
      </w:pPr>
      <w:r>
        <w:rPr>
          <w:rFonts w:hint="eastAsia" w:ascii="宋体" w:hAnsi="宋体"/>
        </w:rPr>
        <w:t>成套设备所用原材料应符合使用要求，应有生产厂质量合格证明书。否则应按相关标准验收合格后，方可投入使用。</w:t>
      </w:r>
    </w:p>
    <w:p w14:paraId="20C213A9">
      <w:pPr>
        <w:pStyle w:val="114"/>
        <w:numPr>
          <w:ilvl w:val="2"/>
          <w:numId w:val="35"/>
        </w:numPr>
        <w:spacing w:before="120" w:after="120"/>
        <w:rPr>
          <w:rFonts w:hint="eastAsia" w:hAnsi="黑体"/>
          <w:szCs w:val="21"/>
        </w:rPr>
      </w:pPr>
      <w:bookmarkStart w:id="418" w:name="_Toc13448"/>
      <w:bookmarkStart w:id="419" w:name="_Toc24780"/>
      <w:bookmarkStart w:id="420" w:name="_Toc23188"/>
      <w:bookmarkStart w:id="421" w:name="_Toc208854188"/>
      <w:bookmarkStart w:id="422" w:name="_Toc19935"/>
      <w:bookmarkStart w:id="423" w:name="_Toc12576"/>
      <w:bookmarkStart w:id="424" w:name="_Toc196411884"/>
      <w:bookmarkStart w:id="425" w:name="_Toc25242"/>
      <w:r>
        <w:rPr>
          <w:rFonts w:hint="eastAsia" w:hAnsi="黑体"/>
          <w:szCs w:val="21"/>
        </w:rPr>
        <w:t>加工要求</w:t>
      </w:r>
      <w:bookmarkEnd w:id="418"/>
      <w:bookmarkEnd w:id="419"/>
      <w:bookmarkEnd w:id="420"/>
      <w:bookmarkEnd w:id="421"/>
      <w:bookmarkEnd w:id="422"/>
      <w:bookmarkEnd w:id="423"/>
      <w:bookmarkEnd w:id="424"/>
      <w:bookmarkEnd w:id="425"/>
    </w:p>
    <w:p w14:paraId="5078EB2C">
      <w:pPr>
        <w:numPr>
          <w:ilvl w:val="3"/>
          <w:numId w:val="35"/>
        </w:numPr>
        <w:adjustRightInd/>
        <w:spacing w:line="240" w:lineRule="auto"/>
        <w:jc w:val="both"/>
        <w:outlineLvl w:val="2"/>
        <w:rPr>
          <w:rFonts w:hint="eastAsia" w:ascii="宋体" w:hAnsi="宋体"/>
        </w:rPr>
      </w:pPr>
      <w:r>
        <w:rPr>
          <w:rFonts w:hint="eastAsia" w:ascii="宋体" w:hAnsi="宋体"/>
        </w:rPr>
        <w:t>成套设备零部件的机械加工应符合</w:t>
      </w:r>
      <w:r>
        <w:rPr>
          <w:rFonts w:ascii="宋体" w:hAnsi="宋体"/>
        </w:rPr>
        <w:t>SB/T 223</w:t>
      </w:r>
      <w:r>
        <w:rPr>
          <w:rFonts w:hint="eastAsia" w:ascii="宋体" w:hAnsi="宋体"/>
        </w:rPr>
        <w:t>的规定。</w:t>
      </w:r>
    </w:p>
    <w:p w14:paraId="49E2DA57">
      <w:pPr>
        <w:numPr>
          <w:ilvl w:val="3"/>
          <w:numId w:val="35"/>
        </w:numPr>
        <w:adjustRightInd/>
        <w:spacing w:line="240" w:lineRule="auto"/>
        <w:jc w:val="both"/>
        <w:outlineLvl w:val="2"/>
        <w:rPr>
          <w:rFonts w:hint="eastAsia" w:ascii="宋体" w:hAnsi="宋体"/>
        </w:rPr>
      </w:pPr>
      <w:r>
        <w:rPr>
          <w:rFonts w:hint="eastAsia" w:ascii="宋体" w:hAnsi="宋体" w:cs="Arial"/>
        </w:rPr>
        <w:t>成套设备</w:t>
      </w:r>
      <w:r>
        <w:rPr>
          <w:rFonts w:hint="eastAsia" w:ascii="宋体" w:hAnsi="宋体"/>
        </w:rPr>
        <w:t>铸件应符合SB/T 225的规定。</w:t>
      </w:r>
    </w:p>
    <w:p w14:paraId="1EDF0FE7">
      <w:pPr>
        <w:numPr>
          <w:ilvl w:val="3"/>
          <w:numId w:val="35"/>
        </w:numPr>
        <w:adjustRightInd/>
        <w:spacing w:line="240" w:lineRule="auto"/>
        <w:jc w:val="both"/>
        <w:outlineLvl w:val="2"/>
        <w:rPr>
          <w:rFonts w:hint="eastAsia" w:ascii="宋体" w:hAnsi="宋体"/>
        </w:rPr>
      </w:pPr>
      <w:r>
        <w:rPr>
          <w:rFonts w:hint="eastAsia" w:ascii="宋体" w:hAnsi="宋体"/>
        </w:rPr>
        <w:t>成套设备焊接件应符合</w:t>
      </w:r>
      <w:r>
        <w:rPr>
          <w:rFonts w:ascii="宋体" w:hAnsi="宋体"/>
        </w:rPr>
        <w:t>SB/T 226</w:t>
      </w:r>
      <w:r>
        <w:rPr>
          <w:rFonts w:hint="eastAsia" w:ascii="宋体" w:hAnsi="宋体"/>
        </w:rPr>
        <w:t>的规定。</w:t>
      </w:r>
    </w:p>
    <w:p w14:paraId="6E71D1A7">
      <w:pPr>
        <w:numPr>
          <w:ilvl w:val="3"/>
          <w:numId w:val="35"/>
        </w:numPr>
        <w:adjustRightInd/>
        <w:spacing w:line="240" w:lineRule="auto"/>
        <w:jc w:val="both"/>
        <w:outlineLvl w:val="2"/>
        <w:rPr>
          <w:rFonts w:hint="eastAsia" w:ascii="宋体" w:hAnsi="宋体"/>
        </w:rPr>
      </w:pPr>
      <w:r>
        <w:rPr>
          <w:rFonts w:hint="eastAsia" w:ascii="宋体" w:hAnsi="宋体"/>
        </w:rPr>
        <w:t>成套设备表面涂漆应符合SB/T 228的规定。</w:t>
      </w:r>
    </w:p>
    <w:p w14:paraId="1F84F17A">
      <w:pPr>
        <w:pStyle w:val="114"/>
        <w:numPr>
          <w:ilvl w:val="2"/>
          <w:numId w:val="35"/>
        </w:numPr>
        <w:spacing w:before="120" w:after="120"/>
        <w:rPr>
          <w:rFonts w:hint="eastAsia" w:hAnsi="黑体"/>
          <w:szCs w:val="21"/>
        </w:rPr>
      </w:pPr>
      <w:bookmarkStart w:id="426" w:name="_Toc8999"/>
      <w:bookmarkStart w:id="427" w:name="_Toc27734"/>
      <w:bookmarkStart w:id="428" w:name="_Toc14023"/>
      <w:bookmarkStart w:id="429" w:name="_Toc28878"/>
      <w:bookmarkStart w:id="430" w:name="_Toc20081"/>
      <w:bookmarkStart w:id="431" w:name="_Toc196411885"/>
      <w:bookmarkStart w:id="432" w:name="_Toc23460"/>
      <w:bookmarkStart w:id="433" w:name="_Toc208854189"/>
      <w:r>
        <w:rPr>
          <w:rFonts w:hint="eastAsia" w:hAnsi="黑体"/>
          <w:szCs w:val="21"/>
        </w:rPr>
        <w:t>主要单机和系统要求</w:t>
      </w:r>
      <w:bookmarkEnd w:id="426"/>
      <w:bookmarkEnd w:id="427"/>
      <w:bookmarkEnd w:id="428"/>
      <w:bookmarkEnd w:id="429"/>
      <w:bookmarkEnd w:id="430"/>
      <w:bookmarkEnd w:id="431"/>
      <w:bookmarkEnd w:id="432"/>
      <w:bookmarkEnd w:id="433"/>
    </w:p>
    <w:p w14:paraId="4A3087E6">
      <w:pPr>
        <w:numPr>
          <w:ilvl w:val="3"/>
          <w:numId w:val="35"/>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成套设备气动系统应符合GB/T 7932的规定。</w:t>
      </w:r>
    </w:p>
    <w:p w14:paraId="42DA4D55">
      <w:pPr>
        <w:numPr>
          <w:ilvl w:val="3"/>
          <w:numId w:val="35"/>
        </w:numPr>
        <w:adjustRightInd/>
        <w:spacing w:line="240" w:lineRule="auto"/>
        <w:jc w:val="both"/>
        <w:outlineLvl w:val="2"/>
        <w:rPr>
          <w:rFonts w:hint="eastAsia" w:ascii="宋体" w:hAnsi="宋体" w:cs="宋体"/>
          <w:color w:val="000000"/>
          <w:kern w:val="0"/>
        </w:rPr>
      </w:pPr>
      <w:r>
        <w:rPr>
          <w:rFonts w:hint="eastAsia" w:ascii="宋体" w:hAnsi="宋体" w:cs="宋体"/>
          <w:color w:val="000000"/>
          <w:kern w:val="0"/>
        </w:rPr>
        <w:t>清洗浸泡设备的泡发合格率不应小于98%。</w:t>
      </w:r>
    </w:p>
    <w:p w14:paraId="4BD59A5B">
      <w:pPr>
        <w:pStyle w:val="114"/>
        <w:numPr>
          <w:ilvl w:val="2"/>
          <w:numId w:val="35"/>
        </w:numPr>
        <w:spacing w:before="120" w:after="120"/>
        <w:rPr>
          <w:rFonts w:hint="eastAsia" w:hAnsi="黑体"/>
          <w:szCs w:val="21"/>
        </w:rPr>
      </w:pPr>
      <w:bookmarkStart w:id="434" w:name="_Toc25965"/>
      <w:bookmarkStart w:id="435" w:name="_Toc196411886"/>
      <w:bookmarkStart w:id="436" w:name="_Toc16116"/>
      <w:bookmarkStart w:id="437" w:name="_Toc25225"/>
      <w:bookmarkStart w:id="438" w:name="_Toc20872"/>
      <w:bookmarkStart w:id="439" w:name="_Toc16666"/>
      <w:bookmarkStart w:id="440" w:name="_Toc208854190"/>
      <w:bookmarkStart w:id="441" w:name="_Toc623"/>
      <w:r>
        <w:rPr>
          <w:rFonts w:hint="eastAsia" w:hAnsi="黑体"/>
          <w:szCs w:val="21"/>
        </w:rPr>
        <w:t>装配要求</w:t>
      </w:r>
      <w:bookmarkEnd w:id="434"/>
      <w:bookmarkEnd w:id="435"/>
      <w:bookmarkEnd w:id="436"/>
      <w:bookmarkEnd w:id="437"/>
      <w:bookmarkEnd w:id="438"/>
      <w:bookmarkEnd w:id="439"/>
      <w:bookmarkEnd w:id="440"/>
      <w:bookmarkEnd w:id="441"/>
    </w:p>
    <w:p w14:paraId="5C8F8526">
      <w:pPr>
        <w:numPr>
          <w:ilvl w:val="3"/>
          <w:numId w:val="35"/>
        </w:numPr>
        <w:adjustRightInd/>
        <w:spacing w:line="240" w:lineRule="auto"/>
        <w:jc w:val="both"/>
        <w:outlineLvl w:val="2"/>
        <w:rPr>
          <w:rFonts w:hint="eastAsia" w:ascii="宋体" w:hAnsi="宋体"/>
        </w:rPr>
      </w:pPr>
      <w:r>
        <w:rPr>
          <w:rFonts w:hint="eastAsia" w:ascii="宋体" w:hAnsi="宋体"/>
        </w:rPr>
        <w:t>成套设备装配应符合</w:t>
      </w:r>
      <w:r>
        <w:rPr>
          <w:rFonts w:ascii="宋体" w:hAnsi="宋体"/>
        </w:rPr>
        <w:t>SB/T 224</w:t>
      </w:r>
      <w:r>
        <w:rPr>
          <w:rFonts w:hint="eastAsia" w:ascii="宋体" w:hAnsi="宋体"/>
        </w:rPr>
        <w:t>的规定。</w:t>
      </w:r>
    </w:p>
    <w:p w14:paraId="08F3F8D2">
      <w:pPr>
        <w:numPr>
          <w:ilvl w:val="3"/>
          <w:numId w:val="35"/>
        </w:numPr>
        <w:adjustRightInd/>
        <w:spacing w:line="240" w:lineRule="auto"/>
        <w:jc w:val="both"/>
        <w:outlineLvl w:val="2"/>
        <w:rPr>
          <w:rFonts w:hint="eastAsia" w:ascii="宋体" w:hAnsi="宋体"/>
        </w:rPr>
      </w:pPr>
      <w:r>
        <w:rPr>
          <w:rFonts w:hint="eastAsia" w:ascii="宋体" w:hAnsi="宋体" w:cs="Arial"/>
          <w:kern w:val="0"/>
        </w:rPr>
        <w:t>成套</w:t>
      </w:r>
      <w:r>
        <w:rPr>
          <w:rFonts w:hint="eastAsia" w:ascii="宋体" w:hAnsi="宋体"/>
          <w:color w:val="000000"/>
        </w:rPr>
        <w:t>设备</w:t>
      </w:r>
      <w:r>
        <w:rPr>
          <w:rFonts w:hint="eastAsia" w:ascii="宋体" w:hAnsi="宋体"/>
          <w:color w:val="000000"/>
          <w:kern w:val="0"/>
        </w:rPr>
        <w:t>零部件的连接应可靠，零部件拆卸、安装应方便</w:t>
      </w:r>
      <w:r>
        <w:rPr>
          <w:rFonts w:hint="eastAsia" w:ascii="宋体" w:hAnsi="宋体"/>
          <w:color w:val="000000" w:themeColor="text1"/>
          <w14:textFill>
            <w14:solidFill>
              <w14:schemeClr w14:val="tx1"/>
            </w14:solidFill>
          </w14:textFill>
        </w:rPr>
        <w:t>，便于清洗</w:t>
      </w:r>
      <w:r>
        <w:rPr>
          <w:rFonts w:hint="eastAsia" w:ascii="宋体" w:hAnsi="宋体"/>
          <w:color w:val="000000"/>
          <w:kern w:val="0"/>
        </w:rPr>
        <w:t>。</w:t>
      </w:r>
    </w:p>
    <w:p w14:paraId="129D46FD">
      <w:pPr>
        <w:numPr>
          <w:ilvl w:val="3"/>
          <w:numId w:val="35"/>
        </w:numPr>
        <w:adjustRightInd/>
        <w:spacing w:line="240" w:lineRule="auto"/>
        <w:jc w:val="both"/>
        <w:outlineLvl w:val="2"/>
        <w:rPr>
          <w:rFonts w:hint="eastAsia" w:ascii="宋体" w:hAnsi="宋体"/>
        </w:rPr>
      </w:pPr>
      <w:r>
        <w:rPr>
          <w:rFonts w:hint="eastAsia" w:ascii="宋体" w:hAnsi="宋体" w:cs="Arial"/>
          <w:kern w:val="0"/>
        </w:rPr>
        <w:t>成套</w:t>
      </w:r>
      <w:r>
        <w:rPr>
          <w:rFonts w:hint="eastAsia" w:ascii="宋体" w:hAnsi="宋体"/>
        </w:rPr>
        <w:t>设备的管线及各管件的连接应可靠，不应有渗漏现象，与运动零部件应无干涉。</w:t>
      </w:r>
    </w:p>
    <w:p w14:paraId="36B92251">
      <w:pPr>
        <w:numPr>
          <w:ilvl w:val="3"/>
          <w:numId w:val="35"/>
        </w:numPr>
        <w:adjustRightInd/>
        <w:spacing w:line="240" w:lineRule="auto"/>
        <w:jc w:val="both"/>
        <w:outlineLvl w:val="2"/>
        <w:rPr>
          <w:rFonts w:hint="eastAsia" w:ascii="宋体" w:hAnsi="宋体"/>
        </w:rPr>
      </w:pPr>
      <w:r>
        <w:rPr>
          <w:rFonts w:hint="eastAsia" w:ascii="宋体" w:hAnsi="宋体"/>
        </w:rPr>
        <w:t>成套设备装配后外观质量应符合GB/T 14253的规定，不应有掉漆、划痕等损伤。</w:t>
      </w:r>
    </w:p>
    <w:p w14:paraId="77663F0F">
      <w:pPr>
        <w:pStyle w:val="114"/>
        <w:numPr>
          <w:ilvl w:val="2"/>
          <w:numId w:val="35"/>
        </w:numPr>
        <w:spacing w:before="120" w:after="120"/>
        <w:rPr>
          <w:rFonts w:hint="eastAsia" w:hAnsi="黑体"/>
          <w:szCs w:val="21"/>
        </w:rPr>
      </w:pPr>
      <w:bookmarkStart w:id="442" w:name="_Toc208854191"/>
      <w:bookmarkStart w:id="443" w:name="_Toc4915"/>
      <w:bookmarkStart w:id="444" w:name="_Toc17730"/>
      <w:bookmarkStart w:id="445" w:name="_Toc9714"/>
      <w:bookmarkStart w:id="446" w:name="_Toc24360"/>
      <w:bookmarkStart w:id="447" w:name="_Toc196411887"/>
      <w:bookmarkStart w:id="448" w:name="_Toc1993"/>
      <w:bookmarkStart w:id="449" w:name="_Toc11497"/>
      <w:r>
        <w:rPr>
          <w:rFonts w:hint="eastAsia" w:hAnsi="黑体"/>
          <w:szCs w:val="21"/>
        </w:rPr>
        <w:t>安装要求</w:t>
      </w:r>
      <w:bookmarkEnd w:id="442"/>
      <w:bookmarkEnd w:id="443"/>
      <w:bookmarkEnd w:id="444"/>
      <w:bookmarkEnd w:id="445"/>
      <w:bookmarkEnd w:id="446"/>
      <w:bookmarkEnd w:id="447"/>
      <w:bookmarkEnd w:id="448"/>
      <w:bookmarkEnd w:id="449"/>
    </w:p>
    <w:p w14:paraId="288E2726">
      <w:pPr>
        <w:numPr>
          <w:ilvl w:val="3"/>
          <w:numId w:val="35"/>
        </w:numPr>
        <w:adjustRightInd/>
        <w:spacing w:line="240" w:lineRule="auto"/>
        <w:jc w:val="both"/>
        <w:outlineLvl w:val="2"/>
        <w:rPr>
          <w:rFonts w:hint="eastAsia" w:ascii="宋体" w:hAnsi="宋体"/>
          <w:color w:val="000000"/>
        </w:rPr>
      </w:pPr>
      <w:r>
        <w:rPr>
          <w:rFonts w:hint="eastAsia" w:ascii="宋体" w:hAnsi="宋体"/>
          <w:color w:val="000000"/>
        </w:rPr>
        <w:t>成套设备气动系统的安装应符合GB/T 7932的规定，气动系统气路连接应密闭，无漏气现象。气动执行机构动作应准确，无阻滞或卡夹现象</w:t>
      </w:r>
      <w:r>
        <w:rPr>
          <w:rFonts w:ascii="宋体" w:hAnsi="宋体"/>
          <w:color w:val="000000" w:themeColor="text1"/>
          <w14:textFill>
            <w14:solidFill>
              <w14:schemeClr w14:val="tx1"/>
            </w14:solidFill>
          </w14:textFill>
        </w:rPr>
        <w:t>，安全保护应可靠</w:t>
      </w:r>
      <w:r>
        <w:rPr>
          <w:rFonts w:hint="eastAsia" w:ascii="宋体" w:hAnsi="宋体"/>
          <w:color w:val="000000"/>
        </w:rPr>
        <w:t>。</w:t>
      </w:r>
    </w:p>
    <w:p w14:paraId="7080AAA7">
      <w:pPr>
        <w:numPr>
          <w:ilvl w:val="3"/>
          <w:numId w:val="35"/>
        </w:numPr>
        <w:adjustRightInd/>
        <w:spacing w:line="240" w:lineRule="auto"/>
        <w:jc w:val="both"/>
        <w:outlineLvl w:val="2"/>
        <w:rPr>
          <w:rFonts w:hint="eastAsia" w:ascii="宋体" w:hAnsi="宋体"/>
          <w:color w:val="000000"/>
        </w:rPr>
      </w:pPr>
      <w:r>
        <w:rPr>
          <w:rFonts w:hint="eastAsia" w:ascii="宋体" w:hAnsi="宋体"/>
          <w:color w:val="000000" w:themeColor="text1"/>
          <w14:textFill>
            <w14:solidFill>
              <w14:schemeClr w14:val="tx1"/>
            </w14:solidFill>
          </w14:textFill>
        </w:rPr>
        <w:t>成套设备水、蒸汽管路各管件的连接应可靠，管路不应有渗漏现象，水和蒸汽管路应符合</w:t>
      </w:r>
      <w:r>
        <w:rPr>
          <w:rFonts w:ascii="宋体" w:hAnsi="宋体"/>
          <w:color w:val="000000" w:themeColor="text1"/>
          <w14:textFill>
            <w14:solidFill>
              <w14:schemeClr w14:val="tx1"/>
            </w14:solidFill>
          </w14:textFill>
        </w:rPr>
        <w:t xml:space="preserve">GB/T </w:t>
      </w:r>
      <w:r>
        <w:rPr>
          <w:rFonts w:hint="eastAsia" w:ascii="宋体" w:hAnsi="宋体"/>
          <w:color w:val="000000" w:themeColor="text1"/>
          <w14:textFill>
            <w14:solidFill>
              <w14:schemeClr w14:val="tx1"/>
            </w14:solidFill>
          </w14:textFill>
        </w:rPr>
        <w:t>20801.1</w:t>
      </w:r>
      <w:r>
        <w:rPr>
          <w:rFonts w:ascii="宋体" w:hAnsi="宋体"/>
          <w:color w:val="000000" w:themeColor="text1"/>
          <w14:textFill>
            <w14:solidFill>
              <w14:schemeClr w14:val="tx1"/>
            </w14:solidFill>
          </w14:textFill>
        </w:rPr>
        <w:t>的规定</w:t>
      </w:r>
      <w:r>
        <w:rPr>
          <w:rFonts w:hint="eastAsia" w:ascii="宋体" w:hAnsi="宋体"/>
          <w:color w:val="000000"/>
        </w:rPr>
        <w:t>。</w:t>
      </w:r>
    </w:p>
    <w:p w14:paraId="131FBE4F">
      <w:pPr>
        <w:numPr>
          <w:ilvl w:val="3"/>
          <w:numId w:val="35"/>
        </w:numPr>
        <w:adjustRightInd/>
        <w:spacing w:line="240" w:lineRule="auto"/>
        <w:jc w:val="both"/>
        <w:outlineLvl w:val="2"/>
        <w:rPr>
          <w:rFonts w:hint="eastAsia" w:ascii="宋体" w:hAnsi="宋体"/>
          <w:color w:val="000000"/>
        </w:rPr>
      </w:pPr>
      <w:r>
        <w:rPr>
          <w:rFonts w:hint="eastAsia" w:ascii="宋体" w:hAnsi="宋体"/>
          <w:color w:val="000000"/>
        </w:rPr>
        <w:t>成套设备各单机之间的衔接应保证物料运行流畅。</w:t>
      </w:r>
    </w:p>
    <w:p w14:paraId="43D49712">
      <w:pPr>
        <w:pStyle w:val="114"/>
        <w:numPr>
          <w:ilvl w:val="2"/>
          <w:numId w:val="35"/>
        </w:numPr>
        <w:spacing w:before="120" w:after="120"/>
        <w:rPr>
          <w:rFonts w:hint="eastAsia" w:hAnsi="黑体"/>
          <w:szCs w:val="21"/>
        </w:rPr>
      </w:pPr>
      <w:bookmarkStart w:id="450" w:name="_Toc31609"/>
      <w:bookmarkStart w:id="451" w:name="_Toc208854192"/>
      <w:bookmarkStart w:id="452" w:name="_Toc23351"/>
      <w:bookmarkStart w:id="453" w:name="_Toc2660"/>
      <w:bookmarkStart w:id="454" w:name="_Toc28498"/>
      <w:bookmarkStart w:id="455" w:name="_Toc16335"/>
      <w:bookmarkStart w:id="456" w:name="_Toc196411888"/>
      <w:bookmarkStart w:id="457" w:name="_Toc32410"/>
      <w:r>
        <w:rPr>
          <w:rFonts w:hint="eastAsia" w:hAnsi="黑体"/>
          <w:szCs w:val="21"/>
        </w:rPr>
        <w:t>卫生安全要求</w:t>
      </w:r>
      <w:bookmarkEnd w:id="450"/>
      <w:bookmarkEnd w:id="451"/>
      <w:bookmarkEnd w:id="452"/>
      <w:bookmarkEnd w:id="453"/>
      <w:bookmarkEnd w:id="454"/>
      <w:bookmarkEnd w:id="455"/>
      <w:bookmarkEnd w:id="456"/>
      <w:bookmarkEnd w:id="457"/>
    </w:p>
    <w:p w14:paraId="4DB4541F">
      <w:pPr>
        <w:numPr>
          <w:ilvl w:val="3"/>
          <w:numId w:val="35"/>
        </w:numPr>
        <w:adjustRightInd/>
        <w:spacing w:line="240" w:lineRule="auto"/>
        <w:jc w:val="both"/>
        <w:outlineLvl w:val="2"/>
        <w:rPr>
          <w:rFonts w:hint="eastAsia" w:ascii="宋体" w:hAnsi="宋体"/>
        </w:rPr>
      </w:pPr>
      <w:r>
        <w:rPr>
          <w:rFonts w:hint="eastAsia" w:ascii="宋体" w:hAnsi="宋体"/>
        </w:rPr>
        <w:t>成套设备结构的安全卫生应符合</w:t>
      </w:r>
      <w:r>
        <w:rPr>
          <w:rFonts w:ascii="宋体" w:hAnsi="宋体"/>
        </w:rPr>
        <w:t>GB 16798</w:t>
      </w:r>
      <w:r>
        <w:rPr>
          <w:rFonts w:hint="eastAsia" w:ascii="宋体" w:hAnsi="宋体"/>
        </w:rPr>
        <w:t>和</w:t>
      </w:r>
      <w:r>
        <w:rPr>
          <w:rFonts w:ascii="宋体" w:hAnsi="宋体"/>
        </w:rPr>
        <w:t>GB/T 19891</w:t>
      </w:r>
      <w:r>
        <w:rPr>
          <w:rFonts w:hint="eastAsia" w:ascii="宋体" w:hAnsi="宋体"/>
        </w:rPr>
        <w:t>的规定，与食品接触部分应符合</w:t>
      </w:r>
      <w:r>
        <w:rPr>
          <w:rFonts w:ascii="宋体" w:hAnsi="宋体"/>
        </w:rPr>
        <w:t>GB 4806.1</w:t>
      </w:r>
      <w:r>
        <w:rPr>
          <w:rFonts w:hint="eastAsia" w:ascii="宋体" w:hAnsi="宋体"/>
        </w:rPr>
        <w:t>的规定。</w:t>
      </w:r>
    </w:p>
    <w:p w14:paraId="1A0C0726">
      <w:pPr>
        <w:numPr>
          <w:ilvl w:val="3"/>
          <w:numId w:val="35"/>
        </w:numPr>
        <w:adjustRightInd/>
        <w:spacing w:line="240" w:lineRule="auto"/>
        <w:jc w:val="both"/>
        <w:outlineLvl w:val="2"/>
        <w:rPr>
          <w:rFonts w:hint="eastAsia" w:ascii="宋体" w:hAnsi="宋体"/>
        </w:rPr>
      </w:pPr>
      <w:r>
        <w:rPr>
          <w:rFonts w:hint="eastAsia" w:ascii="宋体" w:hAnsi="宋体"/>
        </w:rPr>
        <w:t>成套设备各润滑部位应方便操作，不应有渗漏油现象，润滑脂应符合GB 15179的规定。</w:t>
      </w:r>
    </w:p>
    <w:p w14:paraId="5A7B0722">
      <w:pPr>
        <w:numPr>
          <w:ilvl w:val="3"/>
          <w:numId w:val="35"/>
        </w:numPr>
        <w:adjustRightInd/>
        <w:spacing w:line="240" w:lineRule="auto"/>
        <w:jc w:val="both"/>
        <w:outlineLvl w:val="2"/>
        <w:rPr>
          <w:rFonts w:hint="eastAsia" w:ascii="宋体" w:hAnsi="宋体"/>
        </w:rPr>
      </w:pPr>
      <w:r>
        <w:rPr>
          <w:rFonts w:hint="eastAsia" w:ascii="宋体" w:hAnsi="宋体"/>
        </w:rPr>
        <w:t>成套设备涂层部位应光滑细密、色泽均匀，不应有斑点、针孔、气泡和脱落等缺陷，应符合GB 4806.10的规定。</w:t>
      </w:r>
    </w:p>
    <w:p w14:paraId="3CCD8462">
      <w:pPr>
        <w:pStyle w:val="74"/>
        <w:numPr>
          <w:ilvl w:val="3"/>
          <w:numId w:val="35"/>
        </w:numPr>
        <w:spacing w:beforeLines="0" w:afterLines="0"/>
        <w:rPr>
          <w:rFonts w:hint="eastAsia" w:ascii="宋体" w:hAnsi="宋体" w:eastAsia="宋体"/>
          <w:color w:val="000000"/>
          <w:szCs w:val="21"/>
        </w:rPr>
      </w:pPr>
      <w:r>
        <w:rPr>
          <w:rFonts w:hint="eastAsia" w:ascii="宋体" w:hAnsi="宋体" w:eastAsia="宋体"/>
          <w:color w:val="000000"/>
          <w:szCs w:val="21"/>
        </w:rPr>
        <w:t>成套设备</w:t>
      </w:r>
      <w:r>
        <w:rPr>
          <w:rFonts w:hint="eastAsia" w:ascii="宋体" w:hAnsi="宋体" w:eastAsia="宋体"/>
          <w:color w:val="000000" w:themeColor="text1"/>
          <w14:textFill>
            <w14:solidFill>
              <w14:schemeClr w14:val="tx1"/>
            </w14:solidFill>
          </w14:textFill>
        </w:rPr>
        <w:t>的表面</w:t>
      </w:r>
      <w:r>
        <w:rPr>
          <w:rFonts w:hint="eastAsia" w:ascii="宋体" w:hAnsi="宋体" w:eastAsia="宋体"/>
          <w:color w:val="000000"/>
          <w:szCs w:val="21"/>
        </w:rPr>
        <w:t>应平整、光洁，不应有明显的凹凸不平等现象，不应存在死区。</w:t>
      </w:r>
    </w:p>
    <w:p w14:paraId="335C860F">
      <w:pPr>
        <w:adjustRightInd/>
        <w:spacing w:line="240" w:lineRule="auto"/>
        <w:ind w:left="780" w:leftChars="200" w:hanging="360" w:hangingChars="200"/>
        <w:jc w:val="both"/>
        <w:rPr>
          <w:rFonts w:hint="eastAsia" w:ascii="宋体" w:hAnsi="宋体"/>
          <w:color w:val="000000"/>
          <w:kern w:val="0"/>
          <w:sz w:val="18"/>
          <w:szCs w:val="18"/>
        </w:rPr>
      </w:pPr>
      <w:r>
        <w:rPr>
          <w:rFonts w:hint="eastAsia" w:ascii="黑体" w:hAnsi="黑体" w:eastAsia="黑体" w:cs="黑体"/>
          <w:color w:val="000000"/>
          <w:sz w:val="18"/>
          <w:szCs w:val="18"/>
        </w:rPr>
        <w:t>注：</w:t>
      </w:r>
      <w:r>
        <w:rPr>
          <w:rFonts w:hint="eastAsia" w:ascii="Times New Roman" w:hAnsi="宋体"/>
          <w:color w:val="000000"/>
          <w:sz w:val="18"/>
          <w:szCs w:val="18"/>
        </w:rPr>
        <w:t>死区是指清洗介质或清洗物不能达到的区域，即在清洗过程中，原料、产品、清洗剂、消毒剂或污物可能陷入、存留其中或不能被完全清除的区域。</w:t>
      </w:r>
    </w:p>
    <w:p w14:paraId="7F8FBAD9">
      <w:pPr>
        <w:pStyle w:val="114"/>
        <w:numPr>
          <w:ilvl w:val="2"/>
          <w:numId w:val="35"/>
        </w:numPr>
        <w:spacing w:before="120" w:after="120"/>
        <w:rPr>
          <w:rFonts w:hint="eastAsia" w:hAnsi="黑体"/>
          <w:szCs w:val="21"/>
        </w:rPr>
      </w:pPr>
      <w:bookmarkStart w:id="458" w:name="_Toc15104"/>
      <w:bookmarkStart w:id="459" w:name="_Toc7971"/>
      <w:bookmarkStart w:id="460" w:name="_Toc12922"/>
      <w:bookmarkStart w:id="461" w:name="_Toc20882"/>
      <w:bookmarkStart w:id="462" w:name="_Toc196411889"/>
      <w:bookmarkStart w:id="463" w:name="_Toc29454"/>
      <w:bookmarkStart w:id="464" w:name="_Toc208854193"/>
      <w:bookmarkStart w:id="465" w:name="_Toc12012"/>
      <w:r>
        <w:rPr>
          <w:rFonts w:hint="eastAsia" w:hAnsi="黑体"/>
          <w:szCs w:val="21"/>
        </w:rPr>
        <w:t>机械安全要求</w:t>
      </w:r>
      <w:bookmarkEnd w:id="458"/>
      <w:bookmarkEnd w:id="459"/>
      <w:bookmarkEnd w:id="460"/>
      <w:bookmarkEnd w:id="461"/>
      <w:bookmarkEnd w:id="462"/>
      <w:bookmarkEnd w:id="463"/>
      <w:bookmarkEnd w:id="464"/>
      <w:bookmarkEnd w:id="465"/>
    </w:p>
    <w:p w14:paraId="48000906">
      <w:pPr>
        <w:numPr>
          <w:ilvl w:val="3"/>
          <w:numId w:val="35"/>
        </w:numPr>
        <w:adjustRightInd/>
        <w:spacing w:line="240" w:lineRule="auto"/>
        <w:jc w:val="both"/>
        <w:outlineLvl w:val="2"/>
        <w:rPr>
          <w:rFonts w:hint="eastAsia" w:ascii="宋体" w:hAnsi="宋体"/>
        </w:rPr>
      </w:pPr>
      <w:r>
        <w:rPr>
          <w:rFonts w:hint="eastAsia" w:ascii="宋体" w:hAnsi="宋体"/>
        </w:rPr>
        <w:t>成套设备机械安全应符合GB/T 15706的规定。</w:t>
      </w:r>
    </w:p>
    <w:p w14:paraId="4466FE20">
      <w:pPr>
        <w:numPr>
          <w:ilvl w:val="3"/>
          <w:numId w:val="35"/>
        </w:numPr>
        <w:adjustRightInd/>
        <w:spacing w:line="240" w:lineRule="auto"/>
        <w:jc w:val="both"/>
        <w:outlineLvl w:val="2"/>
        <w:rPr>
          <w:rFonts w:hint="eastAsia" w:ascii="宋体" w:hAnsi="宋体"/>
        </w:rPr>
      </w:pPr>
      <w:r>
        <w:rPr>
          <w:rFonts w:hint="eastAsia" w:ascii="宋体" w:hAnsi="宋体"/>
        </w:rPr>
        <w:t>成套设备可能对人身或设备造成损伤的部位应采取相应的安全措施。安全防护装置应符合GB/T 8196的规定。</w:t>
      </w:r>
    </w:p>
    <w:p w14:paraId="3E2FEE63">
      <w:pPr>
        <w:numPr>
          <w:ilvl w:val="3"/>
          <w:numId w:val="35"/>
        </w:numPr>
        <w:adjustRightInd/>
        <w:spacing w:line="240" w:lineRule="auto"/>
        <w:jc w:val="both"/>
        <w:outlineLvl w:val="2"/>
        <w:rPr>
          <w:rFonts w:hint="eastAsia" w:ascii="宋体" w:hAnsi="宋体"/>
        </w:rPr>
      </w:pPr>
      <w:r>
        <w:rPr>
          <w:rFonts w:hint="eastAsia" w:ascii="宋体" w:hAnsi="宋体"/>
        </w:rPr>
        <w:t>成套设备的外表面应光滑无毛刺，不应有明显的机械损伤，不应有对人体造成伤害的尖角及棱边。</w:t>
      </w:r>
    </w:p>
    <w:p w14:paraId="4FD920DC">
      <w:pPr>
        <w:numPr>
          <w:ilvl w:val="3"/>
          <w:numId w:val="35"/>
        </w:numPr>
        <w:adjustRightInd/>
        <w:spacing w:line="240" w:lineRule="auto"/>
        <w:jc w:val="both"/>
        <w:outlineLvl w:val="2"/>
        <w:rPr>
          <w:rFonts w:hint="eastAsia" w:ascii="宋体" w:hAnsi="宋体"/>
        </w:rPr>
      </w:pPr>
      <w:r>
        <w:rPr>
          <w:rFonts w:hint="eastAsia" w:ascii="宋体" w:hAnsi="宋体"/>
        </w:rPr>
        <w:t>成套设备应有醒目的操纵、润滑、防烫等安全警示标志，安全标志应符合GB 2894的规定。</w:t>
      </w:r>
    </w:p>
    <w:p w14:paraId="57CE6A0B">
      <w:pPr>
        <w:numPr>
          <w:ilvl w:val="3"/>
          <w:numId w:val="35"/>
        </w:numPr>
        <w:adjustRightInd/>
        <w:spacing w:line="240" w:lineRule="auto"/>
        <w:jc w:val="both"/>
        <w:outlineLvl w:val="2"/>
        <w:rPr>
          <w:rFonts w:hint="eastAsia" w:ascii="宋体" w:hAnsi="宋体"/>
        </w:rPr>
      </w:pPr>
      <w:r>
        <w:rPr>
          <w:rFonts w:hint="eastAsia" w:ascii="宋体" w:hAnsi="宋体"/>
        </w:rPr>
        <w:t>成套设备应有过载保护器，当机器过载时应能报警且立即停止运行。</w:t>
      </w:r>
    </w:p>
    <w:p w14:paraId="24C704D6">
      <w:pPr>
        <w:numPr>
          <w:ilvl w:val="3"/>
          <w:numId w:val="35"/>
        </w:numPr>
        <w:adjustRightInd/>
        <w:spacing w:line="240" w:lineRule="auto"/>
        <w:jc w:val="both"/>
        <w:outlineLvl w:val="2"/>
        <w:rPr>
          <w:rFonts w:hint="eastAsia" w:ascii="宋体" w:hAnsi="宋体"/>
        </w:rPr>
      </w:pPr>
      <w:r>
        <w:rPr>
          <w:rFonts w:hint="eastAsia" w:ascii="宋体" w:hAnsi="宋体"/>
        </w:rPr>
        <w:t>成套设备易脱落的零部件应有防松脱装置。零件及螺栓、螺母等紧固件应可靠固定，不应因振动而松动和脱落。</w:t>
      </w:r>
    </w:p>
    <w:p w14:paraId="02113B3F">
      <w:pPr>
        <w:numPr>
          <w:ilvl w:val="3"/>
          <w:numId w:val="35"/>
        </w:numPr>
        <w:adjustRightInd/>
        <w:spacing w:line="240" w:lineRule="auto"/>
        <w:jc w:val="both"/>
        <w:outlineLvl w:val="2"/>
        <w:rPr>
          <w:rFonts w:hint="eastAsia" w:ascii="宋体" w:hAnsi="宋体"/>
        </w:rPr>
      </w:pPr>
      <w:r>
        <w:rPr>
          <w:rFonts w:hint="eastAsia" w:ascii="宋体" w:hAnsi="宋体" w:cs="宋体"/>
          <w:color w:val="000000" w:themeColor="text1"/>
          <w14:textFill>
            <w14:solidFill>
              <w14:schemeClr w14:val="tx1"/>
            </w14:solidFill>
          </w14:textFill>
        </w:rPr>
        <w:t>滑动轴承的工作温度不应超过70 ℃、温升不应超过30 ℃，滚动轴承的工作温度不应超过80 ℃、温升不应超过35 ℃。</w:t>
      </w:r>
    </w:p>
    <w:p w14:paraId="6A1A8786">
      <w:pPr>
        <w:pStyle w:val="114"/>
        <w:numPr>
          <w:ilvl w:val="2"/>
          <w:numId w:val="35"/>
        </w:numPr>
        <w:spacing w:before="120" w:after="120"/>
        <w:rPr>
          <w:rFonts w:hint="eastAsia" w:hAnsi="黑体"/>
          <w:szCs w:val="21"/>
        </w:rPr>
      </w:pPr>
      <w:bookmarkStart w:id="466" w:name="_Toc32630"/>
      <w:bookmarkStart w:id="467" w:name="_Toc208854194"/>
      <w:bookmarkStart w:id="468" w:name="_Toc30247"/>
      <w:bookmarkStart w:id="469" w:name="_Toc196411890"/>
      <w:bookmarkStart w:id="470" w:name="_Toc30673"/>
      <w:bookmarkStart w:id="471" w:name="_Toc3886"/>
      <w:bookmarkStart w:id="472" w:name="_Toc9966"/>
      <w:bookmarkStart w:id="473" w:name="_Toc17449"/>
      <w:r>
        <w:rPr>
          <w:rFonts w:hint="eastAsia" w:hAnsi="黑体"/>
          <w:szCs w:val="21"/>
        </w:rPr>
        <w:t>电气安全要求</w:t>
      </w:r>
      <w:bookmarkEnd w:id="466"/>
      <w:bookmarkEnd w:id="467"/>
      <w:bookmarkEnd w:id="468"/>
      <w:bookmarkEnd w:id="469"/>
      <w:bookmarkEnd w:id="470"/>
      <w:bookmarkEnd w:id="471"/>
      <w:bookmarkEnd w:id="472"/>
      <w:bookmarkEnd w:id="473"/>
    </w:p>
    <w:p w14:paraId="16CDFCE5">
      <w:pPr>
        <w:numPr>
          <w:ilvl w:val="3"/>
          <w:numId w:val="35"/>
        </w:numPr>
        <w:adjustRightInd/>
        <w:spacing w:line="240" w:lineRule="auto"/>
        <w:jc w:val="both"/>
        <w:outlineLvl w:val="2"/>
        <w:rPr>
          <w:rFonts w:hint="eastAsia" w:ascii="宋体" w:hAnsi="宋体"/>
          <w:color w:val="000000"/>
        </w:rPr>
      </w:pPr>
      <w:r>
        <w:rPr>
          <w:rFonts w:hint="eastAsia" w:ascii="宋体" w:hAnsi="宋体"/>
          <w:color w:val="000000"/>
        </w:rPr>
        <w:t>成套设备电气安全应符合GB/T 5226.1的规定，应通过电阻试验和耐压试验。</w:t>
      </w:r>
    </w:p>
    <w:p w14:paraId="776BA62B">
      <w:pPr>
        <w:numPr>
          <w:ilvl w:val="3"/>
          <w:numId w:val="35"/>
        </w:numPr>
        <w:adjustRightInd/>
        <w:spacing w:line="240" w:lineRule="auto"/>
        <w:jc w:val="both"/>
        <w:outlineLvl w:val="2"/>
        <w:rPr>
          <w:rFonts w:hint="eastAsia" w:ascii="宋体" w:hAnsi="宋体"/>
          <w:color w:val="000000"/>
        </w:rPr>
      </w:pPr>
      <w:r>
        <w:rPr>
          <w:rFonts w:hint="eastAsia" w:ascii="宋体" w:hAnsi="宋体"/>
          <w:color w:val="000000"/>
        </w:rPr>
        <w:t>电气控制系统应安全可靠、控制准确，电气线路接头应联接牢固并加以编号，导线不应裸露，应有漏电保护装置。操作按钮应可靠，并有急停按钮，指示灯显示应正常。</w:t>
      </w:r>
    </w:p>
    <w:p w14:paraId="77D2BCAC">
      <w:pPr>
        <w:numPr>
          <w:ilvl w:val="3"/>
          <w:numId w:val="35"/>
        </w:numPr>
        <w:adjustRightInd/>
        <w:spacing w:line="240" w:lineRule="auto"/>
        <w:jc w:val="both"/>
        <w:outlineLvl w:val="2"/>
        <w:rPr>
          <w:rFonts w:hint="eastAsia" w:ascii="宋体" w:hAnsi="宋体"/>
          <w:color w:val="000000"/>
        </w:rPr>
      </w:pPr>
      <w:r>
        <w:rPr>
          <w:rFonts w:hint="eastAsia" w:ascii="宋体" w:hAnsi="宋体"/>
          <w:color w:val="000000"/>
        </w:rPr>
        <w:t>成套设备应有可靠的接地装置，并有明显的接地标志。成套设备接地端子或接地触点与接地金属部件之间的连接应具有低电阻，其电阻值不应大于0.1 Ω，并有防腐蚀措施。</w:t>
      </w:r>
    </w:p>
    <w:p w14:paraId="6A9D18D4">
      <w:pPr>
        <w:numPr>
          <w:ilvl w:val="3"/>
          <w:numId w:val="35"/>
        </w:numPr>
        <w:adjustRightInd/>
        <w:spacing w:line="240" w:lineRule="auto"/>
        <w:jc w:val="both"/>
        <w:outlineLvl w:val="2"/>
        <w:rPr>
          <w:rFonts w:hint="eastAsia" w:ascii="宋体" w:hAnsi="宋体"/>
          <w:color w:val="000000"/>
        </w:rPr>
      </w:pPr>
      <w:r>
        <w:rPr>
          <w:rFonts w:hint="eastAsia" w:ascii="宋体" w:hAnsi="宋体"/>
          <w:color w:val="000000"/>
        </w:rPr>
        <w:t>成套设备动力电路导线和保护联结电路间施加DC 500 V时测得的绝缘电阻不应小于1 MΩ。</w:t>
      </w:r>
    </w:p>
    <w:p w14:paraId="27CE7115">
      <w:pPr>
        <w:numPr>
          <w:ilvl w:val="3"/>
          <w:numId w:val="35"/>
        </w:numPr>
        <w:adjustRightInd/>
        <w:spacing w:line="240" w:lineRule="auto"/>
        <w:jc w:val="both"/>
        <w:outlineLvl w:val="2"/>
        <w:rPr>
          <w:rFonts w:hint="eastAsia" w:ascii="宋体" w:hAnsi="宋体"/>
          <w:color w:val="000000"/>
        </w:rPr>
      </w:pPr>
      <w:r>
        <w:rPr>
          <w:rFonts w:hint="eastAsia" w:ascii="宋体" w:hAnsi="宋体"/>
          <w:color w:val="000000"/>
        </w:rPr>
        <w:t>成套设备最大试验电压取两倍的电气设备额定电源电压值或1000 V中的较大者。在动力电路导线和保护联结电路间施加最大试验电压并保持至少1 s时间，不应出现击穿、放电现象。</w:t>
      </w:r>
    </w:p>
    <w:p w14:paraId="35D4F3F8">
      <w:pPr>
        <w:numPr>
          <w:ilvl w:val="3"/>
          <w:numId w:val="35"/>
        </w:numPr>
        <w:adjustRightInd/>
        <w:spacing w:line="240" w:lineRule="auto"/>
        <w:jc w:val="both"/>
        <w:outlineLvl w:val="2"/>
        <w:rPr>
          <w:rFonts w:hint="eastAsia" w:ascii="宋体" w:hAnsi="宋体"/>
          <w:color w:val="000000"/>
        </w:rPr>
      </w:pPr>
      <w:r>
        <w:rPr>
          <w:rFonts w:hint="eastAsia" w:ascii="宋体" w:hAnsi="宋体"/>
          <w:color w:val="000000"/>
        </w:rPr>
        <w:t>成套设备控制柜和现场安装的电器元件外壳安全防护应符合GB/T 4208的规定，防护等级不应低于IP 55的要求。</w:t>
      </w:r>
    </w:p>
    <w:p w14:paraId="45A0338E">
      <w:pPr>
        <w:pStyle w:val="114"/>
        <w:numPr>
          <w:ilvl w:val="2"/>
          <w:numId w:val="35"/>
        </w:numPr>
        <w:spacing w:before="120" w:after="120"/>
        <w:rPr>
          <w:rFonts w:hint="eastAsia" w:hAnsi="黑体"/>
          <w:szCs w:val="21"/>
        </w:rPr>
      </w:pPr>
      <w:bookmarkStart w:id="474" w:name="_Toc15500"/>
      <w:bookmarkStart w:id="475" w:name="_Toc196300144"/>
      <w:bookmarkStart w:id="476" w:name="_Toc187322217"/>
      <w:bookmarkStart w:id="477" w:name="_Toc17112"/>
      <w:bookmarkStart w:id="478" w:name="_Toc27112"/>
      <w:bookmarkStart w:id="479" w:name="_Toc208854195"/>
      <w:bookmarkStart w:id="480" w:name="_Toc196411891"/>
      <w:bookmarkStart w:id="481" w:name="_Toc195185173"/>
      <w:bookmarkStart w:id="482" w:name="_Toc26831"/>
      <w:bookmarkStart w:id="483" w:name="_Toc10709"/>
      <w:bookmarkStart w:id="484" w:name="_Toc12418"/>
      <w:r>
        <w:rPr>
          <w:rFonts w:hint="eastAsia" w:hAnsi="黑体"/>
          <w:szCs w:val="21"/>
        </w:rPr>
        <w:t>成（配）套性</w:t>
      </w:r>
      <w:bookmarkEnd w:id="474"/>
      <w:bookmarkEnd w:id="475"/>
      <w:bookmarkEnd w:id="476"/>
      <w:bookmarkEnd w:id="477"/>
      <w:bookmarkEnd w:id="478"/>
      <w:bookmarkEnd w:id="479"/>
      <w:bookmarkEnd w:id="480"/>
      <w:bookmarkEnd w:id="481"/>
      <w:bookmarkEnd w:id="482"/>
      <w:bookmarkEnd w:id="483"/>
      <w:bookmarkEnd w:id="484"/>
    </w:p>
    <w:p w14:paraId="2DE6ACD9">
      <w:pPr>
        <w:numPr>
          <w:ilvl w:val="3"/>
          <w:numId w:val="35"/>
        </w:numPr>
        <w:adjustRightInd/>
        <w:spacing w:line="240" w:lineRule="auto"/>
        <w:jc w:val="both"/>
        <w:outlineLvl w:val="2"/>
        <w:rPr>
          <w:rFonts w:hint="eastAsia" w:ascii="宋体" w:hAnsi="宋体"/>
        </w:rPr>
      </w:pPr>
      <w:r>
        <w:rPr>
          <w:rFonts w:hint="eastAsia" w:ascii="宋体" w:hAnsi="宋体"/>
        </w:rPr>
        <w:t>成套设备中各单机的功能和生产能力应匹配和相互协调，满足生产工艺要求，各单机产能配套系数宜为1.0～1.2。</w:t>
      </w:r>
    </w:p>
    <w:p w14:paraId="0581C7A5">
      <w:pPr>
        <w:widowControl/>
        <w:adjustRightInd/>
        <w:spacing w:line="240" w:lineRule="auto"/>
        <w:ind w:left="780" w:leftChars="200" w:hanging="360" w:hangingChars="200"/>
        <w:jc w:val="both"/>
        <w:rPr>
          <w:rFonts w:hint="eastAsia" w:ascii="Times New Roman" w:hAnsi="宋体"/>
          <w:color w:val="000000"/>
          <w:sz w:val="18"/>
          <w:szCs w:val="16"/>
        </w:rPr>
      </w:pPr>
      <w:r>
        <w:rPr>
          <w:rFonts w:hint="eastAsia" w:ascii="黑体" w:hAnsi="黑体" w:eastAsia="黑体" w:cs="黑体"/>
          <w:color w:val="000000"/>
          <w:sz w:val="18"/>
          <w:szCs w:val="16"/>
          <w:lang w:bidi="ar"/>
        </w:rPr>
        <w:t>注：</w:t>
      </w:r>
      <w:r>
        <w:rPr>
          <w:rFonts w:hint="eastAsia" w:ascii="Times New Roman" w:hAnsi="宋体"/>
          <w:color w:val="000000"/>
          <w:sz w:val="18"/>
          <w:szCs w:val="16"/>
          <w:lang w:bidi="ar"/>
        </w:rPr>
        <w:t>产能配套系数指各单机的额定生产能力与成套设备设计生产能力的比值。</w:t>
      </w:r>
    </w:p>
    <w:p w14:paraId="5ED4AB01">
      <w:pPr>
        <w:numPr>
          <w:ilvl w:val="3"/>
          <w:numId w:val="35"/>
        </w:numPr>
        <w:adjustRightInd/>
        <w:spacing w:line="240" w:lineRule="auto"/>
        <w:jc w:val="both"/>
        <w:outlineLvl w:val="2"/>
        <w:rPr>
          <w:rFonts w:hint="eastAsia" w:ascii="宋体" w:hAnsi="宋体"/>
        </w:rPr>
      </w:pPr>
      <w:r>
        <w:rPr>
          <w:rFonts w:hint="eastAsia" w:ascii="宋体" w:hAnsi="宋体"/>
        </w:rPr>
        <w:t>应配齐保证成套设备基本性能要求的附件和专用工具，附件和专用工具应附有质量合格证。</w:t>
      </w:r>
    </w:p>
    <w:p w14:paraId="1FB129B2">
      <w:pPr>
        <w:pStyle w:val="114"/>
        <w:numPr>
          <w:ilvl w:val="2"/>
          <w:numId w:val="35"/>
        </w:numPr>
        <w:spacing w:before="120" w:after="120"/>
        <w:rPr>
          <w:rFonts w:hint="eastAsia" w:hAnsi="黑体"/>
          <w:szCs w:val="21"/>
        </w:rPr>
      </w:pPr>
      <w:bookmarkStart w:id="485" w:name="_Toc5839"/>
      <w:bookmarkStart w:id="486" w:name="_Toc14194"/>
      <w:bookmarkStart w:id="487" w:name="_Toc27725"/>
      <w:bookmarkStart w:id="488" w:name="_Toc208854196"/>
      <w:bookmarkStart w:id="489" w:name="_Toc6907"/>
      <w:bookmarkStart w:id="490" w:name="_Toc29418"/>
      <w:bookmarkStart w:id="491" w:name="_Toc196411914"/>
      <w:bookmarkStart w:id="492" w:name="_Toc6464"/>
      <w:bookmarkStart w:id="493" w:name="_Hlk107127476"/>
      <w:r>
        <w:rPr>
          <w:rFonts w:hint="eastAsia" w:hAnsi="黑体"/>
          <w:szCs w:val="21"/>
        </w:rPr>
        <w:t>性能要求</w:t>
      </w:r>
      <w:bookmarkEnd w:id="485"/>
      <w:bookmarkEnd w:id="486"/>
      <w:bookmarkEnd w:id="487"/>
      <w:bookmarkEnd w:id="488"/>
      <w:bookmarkEnd w:id="489"/>
      <w:bookmarkEnd w:id="490"/>
      <w:bookmarkEnd w:id="491"/>
      <w:bookmarkEnd w:id="492"/>
    </w:p>
    <w:p w14:paraId="6A994D74">
      <w:pPr>
        <w:pStyle w:val="114"/>
        <w:numPr>
          <w:ilvl w:val="3"/>
          <w:numId w:val="35"/>
        </w:numPr>
        <w:spacing w:beforeLines="0" w:afterLines="0"/>
        <w:outlineLvl w:val="2"/>
        <w:rPr>
          <w:rFonts w:hint="eastAsia" w:ascii="宋体" w:hAnsi="宋体" w:eastAsia="宋体" w:cs="宋体"/>
          <w:color w:val="0070C0"/>
        </w:rPr>
      </w:pPr>
      <w:bookmarkStart w:id="494" w:name="_Toc204068469"/>
      <w:bookmarkStart w:id="495" w:name="_Toc208854197"/>
      <w:bookmarkStart w:id="496" w:name="_Toc204448582"/>
      <w:r>
        <w:rPr>
          <w:rFonts w:hint="eastAsia" w:ascii="宋体" w:hAnsi="宋体" w:eastAsia="宋体" w:cs="宋体"/>
          <w:szCs w:val="21"/>
        </w:rPr>
        <w:t>成套</w:t>
      </w:r>
      <w:r>
        <w:rPr>
          <w:rFonts w:hint="eastAsia" w:ascii="宋体" w:hAnsi="宋体" w:eastAsia="宋体" w:cs="宋体"/>
        </w:rPr>
        <w:t>设备正常运行时，性能参数应符合表1的规定。</w:t>
      </w:r>
      <w:bookmarkEnd w:id="494"/>
      <w:bookmarkEnd w:id="495"/>
      <w:bookmarkEnd w:id="496"/>
    </w:p>
    <w:p w14:paraId="163D5966">
      <w:pPr>
        <w:pStyle w:val="13"/>
        <w:spacing w:before="120" w:beforeLines="50" w:after="120" w:afterLines="50" w:line="240" w:lineRule="auto"/>
        <w:jc w:val="center"/>
        <w:rPr>
          <w:rFonts w:hint="eastAsia" w:ascii="黑体" w:hAnsi="黑体"/>
          <w:sz w:val="21"/>
          <w:szCs w:val="21"/>
        </w:rPr>
      </w:pPr>
      <w:r>
        <w:rPr>
          <w:rFonts w:hint="eastAsia" w:ascii="黑体" w:hAnsi="黑体"/>
          <w:sz w:val="21"/>
          <w:szCs w:val="21"/>
        </w:rPr>
        <w:t xml:space="preserve">表 </w:t>
      </w:r>
      <w:r>
        <w:rPr>
          <w:rFonts w:hint="eastAsia" w:ascii="黑体" w:hAnsi="黑体"/>
          <w:sz w:val="21"/>
          <w:szCs w:val="21"/>
        </w:rPr>
        <w:fldChar w:fldCharType="begin"/>
      </w:r>
      <w:r>
        <w:rPr>
          <w:rFonts w:hint="eastAsia" w:ascii="黑体" w:hAnsi="黑体"/>
          <w:sz w:val="21"/>
          <w:szCs w:val="21"/>
        </w:rPr>
        <w:instrText xml:space="preserve"> SEQ 表 \* ARABIC </w:instrText>
      </w:r>
      <w:r>
        <w:rPr>
          <w:rFonts w:hint="eastAsia" w:ascii="黑体" w:hAnsi="黑体"/>
          <w:sz w:val="21"/>
          <w:szCs w:val="21"/>
        </w:rPr>
        <w:fldChar w:fldCharType="separate"/>
      </w:r>
      <w:r>
        <w:rPr>
          <w:rFonts w:hint="eastAsia" w:ascii="黑体" w:hAnsi="黑体"/>
          <w:sz w:val="21"/>
          <w:szCs w:val="21"/>
        </w:rPr>
        <w:t>1</w:t>
      </w:r>
      <w:r>
        <w:rPr>
          <w:rFonts w:hint="eastAsia" w:ascii="黑体" w:hAnsi="黑体"/>
          <w:sz w:val="21"/>
          <w:szCs w:val="21"/>
        </w:rPr>
        <w:fldChar w:fldCharType="end"/>
      </w:r>
      <w:bookmarkStart w:id="497" w:name="_Toc14521"/>
      <w:bookmarkStart w:id="498" w:name="_Toc30685"/>
      <w:bookmarkStart w:id="499" w:name="_Toc8722"/>
      <w:bookmarkStart w:id="500" w:name="_Toc3148"/>
      <w:bookmarkStart w:id="501" w:name="_Toc12282"/>
      <w:bookmarkStart w:id="502" w:name="_Toc230"/>
      <w:r>
        <w:rPr>
          <w:rFonts w:hint="eastAsia" w:ascii="黑体" w:hAnsi="黑体"/>
          <w:sz w:val="21"/>
          <w:szCs w:val="21"/>
        </w:rPr>
        <w:t xml:space="preserve"> 成套设备主要性能参数</w:t>
      </w:r>
      <w:bookmarkEnd w:id="497"/>
      <w:bookmarkEnd w:id="498"/>
      <w:bookmarkEnd w:id="499"/>
      <w:bookmarkEnd w:id="500"/>
      <w:bookmarkEnd w:id="501"/>
      <w:bookmarkEnd w:id="502"/>
    </w:p>
    <w:tbl>
      <w:tblPr>
        <w:tblStyle w:val="3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032"/>
        <w:gridCol w:w="3029"/>
        <w:gridCol w:w="3029"/>
      </w:tblGrid>
      <w:tr w14:paraId="48849F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032" w:type="dxa"/>
            <w:vMerge w:val="restart"/>
            <w:tcBorders>
              <w:top w:val="single" w:color="auto" w:sz="8" w:space="0"/>
            </w:tcBorders>
            <w:vAlign w:val="center"/>
          </w:tcPr>
          <w:p w14:paraId="4A9B5401">
            <w:pPr>
              <w:pStyle w:val="187"/>
            </w:pPr>
            <w:r>
              <w:rPr>
                <w:rFonts w:hint="eastAsia"/>
              </w:rPr>
              <w:t>名称</w:t>
            </w:r>
          </w:p>
        </w:tc>
        <w:tc>
          <w:tcPr>
            <w:tcW w:w="6058" w:type="dxa"/>
            <w:gridSpan w:val="2"/>
            <w:tcBorders>
              <w:top w:val="single" w:color="auto" w:sz="8" w:space="0"/>
              <w:bottom w:val="single" w:color="auto" w:sz="8" w:space="0"/>
            </w:tcBorders>
            <w:vAlign w:val="center"/>
          </w:tcPr>
          <w:p w14:paraId="43F27BCF">
            <w:pPr>
              <w:pStyle w:val="187"/>
            </w:pPr>
            <w:r>
              <w:rPr>
                <w:rFonts w:hint="eastAsia"/>
              </w:rPr>
              <w:t>参数</w:t>
            </w:r>
          </w:p>
        </w:tc>
      </w:tr>
      <w:tr w14:paraId="409143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032" w:type="dxa"/>
            <w:vMerge w:val="continue"/>
            <w:vAlign w:val="center"/>
          </w:tcPr>
          <w:p w14:paraId="22D669F3">
            <w:pPr>
              <w:pStyle w:val="187"/>
            </w:pPr>
          </w:p>
        </w:tc>
        <w:tc>
          <w:tcPr>
            <w:tcW w:w="3029" w:type="dxa"/>
            <w:tcBorders>
              <w:top w:val="single" w:color="auto" w:sz="8" w:space="0"/>
            </w:tcBorders>
            <w:vAlign w:val="center"/>
          </w:tcPr>
          <w:p w14:paraId="16AB59E9">
            <w:pPr>
              <w:pStyle w:val="187"/>
            </w:pPr>
            <w:r>
              <w:rPr>
                <w:rFonts w:hint="eastAsia"/>
              </w:rPr>
              <w:t>禾谷类</w:t>
            </w:r>
          </w:p>
        </w:tc>
        <w:tc>
          <w:tcPr>
            <w:tcW w:w="3029" w:type="dxa"/>
            <w:tcBorders>
              <w:top w:val="single" w:color="auto" w:sz="8" w:space="0"/>
            </w:tcBorders>
            <w:vAlign w:val="center"/>
          </w:tcPr>
          <w:p w14:paraId="46A4EFD3">
            <w:pPr>
              <w:pStyle w:val="187"/>
            </w:pPr>
            <w:r>
              <w:rPr>
                <w:rFonts w:hint="eastAsia"/>
              </w:rPr>
              <w:t>豆菽类</w:t>
            </w:r>
          </w:p>
        </w:tc>
      </w:tr>
      <w:tr w14:paraId="131A4C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032" w:type="dxa"/>
            <w:vAlign w:val="center"/>
          </w:tcPr>
          <w:p w14:paraId="1FDC2007">
            <w:pPr>
              <w:pStyle w:val="187"/>
            </w:pPr>
            <w:r>
              <w:rPr>
                <w:rFonts w:hint="eastAsia"/>
                <w:color w:val="000000" w:themeColor="text1"/>
                <w:szCs w:val="18"/>
                <w14:textFill>
                  <w14:solidFill>
                    <w14:schemeClr w14:val="tx1"/>
                  </w14:solidFill>
                </w14:textFill>
              </w:rPr>
              <w:t>加工能力</w:t>
            </w:r>
          </w:p>
        </w:tc>
        <w:tc>
          <w:tcPr>
            <w:tcW w:w="3029" w:type="dxa"/>
            <w:vAlign w:val="center"/>
          </w:tcPr>
          <w:p w14:paraId="5AC56A48">
            <w:pPr>
              <w:pStyle w:val="187"/>
            </w:pPr>
            <w:r>
              <w:rPr>
                <w:rFonts w:hint="eastAsia"/>
                <w:szCs w:val="18"/>
              </w:rPr>
              <w:t>≥300</w:t>
            </w:r>
            <w:r>
              <w:rPr>
                <w:rFonts w:hint="eastAsia"/>
                <w:color w:val="000000" w:themeColor="text1"/>
                <w:szCs w:val="18"/>
                <w14:textFill>
                  <w14:solidFill>
                    <w14:schemeClr w14:val="tx1"/>
                  </w14:solidFill>
                </w14:textFill>
              </w:rPr>
              <w:t xml:space="preserve"> kg/m³</w:t>
            </w:r>
          </w:p>
        </w:tc>
        <w:tc>
          <w:tcPr>
            <w:tcW w:w="3029" w:type="dxa"/>
            <w:vAlign w:val="center"/>
          </w:tcPr>
          <w:p w14:paraId="628B3FC5">
            <w:pPr>
              <w:pStyle w:val="187"/>
            </w:pPr>
            <w:r>
              <w:rPr>
                <w:rFonts w:hint="eastAsia"/>
                <w:szCs w:val="18"/>
              </w:rPr>
              <w:t xml:space="preserve">≥240 </w:t>
            </w:r>
            <w:r>
              <w:rPr>
                <w:rFonts w:hint="eastAsia"/>
                <w:color w:val="000000" w:themeColor="text1"/>
                <w:szCs w:val="18"/>
                <w14:textFill>
                  <w14:solidFill>
                    <w14:schemeClr w14:val="tx1"/>
                  </w14:solidFill>
                </w14:textFill>
              </w:rPr>
              <w:t>kg/m³</w:t>
            </w:r>
          </w:p>
        </w:tc>
      </w:tr>
      <w:tr w14:paraId="1FB953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032" w:type="dxa"/>
            <w:vAlign w:val="center"/>
          </w:tcPr>
          <w:p w14:paraId="7301EF79">
            <w:pPr>
              <w:pStyle w:val="187"/>
            </w:pPr>
            <w:r>
              <w:rPr>
                <w:rFonts w:hint="eastAsia"/>
                <w:color w:val="000000" w:themeColor="text1"/>
                <w:szCs w:val="18"/>
                <w14:textFill>
                  <w14:solidFill>
                    <w14:schemeClr w14:val="tx1"/>
                  </w14:solidFill>
                </w14:textFill>
              </w:rPr>
              <w:t>单位谷物能耗量</w:t>
            </w:r>
          </w:p>
        </w:tc>
        <w:tc>
          <w:tcPr>
            <w:tcW w:w="6058" w:type="dxa"/>
            <w:gridSpan w:val="2"/>
            <w:vAlign w:val="center"/>
          </w:tcPr>
          <w:p w14:paraId="2C4CF755">
            <w:pPr>
              <w:pStyle w:val="187"/>
            </w:pPr>
            <w:r>
              <w:rPr>
                <w:rFonts w:hint="eastAsia"/>
                <w:color w:val="000000" w:themeColor="text1"/>
                <w:szCs w:val="18"/>
                <w14:textFill>
                  <w14:solidFill>
                    <w14:schemeClr w14:val="tx1"/>
                  </w14:solidFill>
                </w14:textFill>
              </w:rPr>
              <w:t>≤</w:t>
            </w:r>
            <w:r>
              <w:rPr>
                <w:color w:val="000000" w:themeColor="text1"/>
                <w:szCs w:val="18"/>
                <w14:textFill>
                  <w14:solidFill>
                    <w14:schemeClr w14:val="tx1"/>
                  </w14:solidFill>
                </w14:textFill>
              </w:rPr>
              <w:t>100</w:t>
            </w:r>
            <w:r>
              <w:rPr>
                <w:rFonts w:hint="eastAsia"/>
                <w:color w:val="000000" w:themeColor="text1"/>
                <w:szCs w:val="18"/>
                <w14:textFill>
                  <w14:solidFill>
                    <w14:schemeClr w14:val="tx1"/>
                  </w14:solidFill>
                </w14:textFill>
              </w:rPr>
              <w:t xml:space="preserve"> </w:t>
            </w:r>
            <w:r>
              <w:rPr>
                <w:color w:val="000000" w:themeColor="text1"/>
                <w:szCs w:val="18"/>
                <w14:textFill>
                  <w14:solidFill>
                    <w14:schemeClr w14:val="tx1"/>
                  </w14:solidFill>
                </w14:textFill>
              </w:rPr>
              <w:t>kJ/kg</w:t>
            </w:r>
          </w:p>
        </w:tc>
      </w:tr>
      <w:tr w14:paraId="13A459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032" w:type="dxa"/>
            <w:vAlign w:val="center"/>
          </w:tcPr>
          <w:p w14:paraId="23D14DE6">
            <w:pPr>
              <w:pStyle w:val="187"/>
              <w:rPr>
                <w:color w:val="000000" w:themeColor="text1"/>
                <w:szCs w:val="18"/>
                <w14:textFill>
                  <w14:solidFill>
                    <w14:schemeClr w14:val="tx1"/>
                  </w14:solidFill>
                </w14:textFill>
              </w:rPr>
            </w:pPr>
            <w:r>
              <w:rPr>
                <w:rFonts w:hint="eastAsia" w:hAnsi="宋体"/>
                <w:szCs w:val="18"/>
              </w:rPr>
              <w:t>使用有效度</w:t>
            </w:r>
          </w:p>
        </w:tc>
        <w:tc>
          <w:tcPr>
            <w:tcW w:w="6058" w:type="dxa"/>
            <w:gridSpan w:val="2"/>
            <w:vAlign w:val="center"/>
          </w:tcPr>
          <w:p w14:paraId="2FA62348">
            <w:pPr>
              <w:pStyle w:val="187"/>
              <w:rPr>
                <w:color w:val="000000" w:themeColor="text1"/>
                <w:szCs w:val="18"/>
                <w14:textFill>
                  <w14:solidFill>
                    <w14:schemeClr w14:val="tx1"/>
                  </w14:solidFill>
                </w14:textFill>
              </w:rPr>
            </w:pPr>
            <w:r>
              <w:rPr>
                <w:rFonts w:hint="eastAsia" w:hAnsi="宋体"/>
                <w:szCs w:val="18"/>
              </w:rPr>
              <w:t>≥95%</w:t>
            </w:r>
          </w:p>
        </w:tc>
      </w:tr>
      <w:tr w14:paraId="622E87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032" w:type="dxa"/>
            <w:vAlign w:val="center"/>
          </w:tcPr>
          <w:p w14:paraId="23189C40">
            <w:pPr>
              <w:pStyle w:val="187"/>
            </w:pPr>
            <w:r>
              <w:rPr>
                <w:rFonts w:hint="eastAsia"/>
                <w:color w:val="000000" w:themeColor="text1"/>
                <w:szCs w:val="18"/>
                <w14:textFill>
                  <w14:solidFill>
                    <w14:schemeClr w14:val="tx1"/>
                  </w14:solidFill>
                </w14:textFill>
              </w:rPr>
              <w:t>工作噪声</w:t>
            </w:r>
          </w:p>
        </w:tc>
        <w:tc>
          <w:tcPr>
            <w:tcW w:w="6058" w:type="dxa"/>
            <w:gridSpan w:val="2"/>
            <w:vAlign w:val="center"/>
          </w:tcPr>
          <w:p w14:paraId="022F0DBC">
            <w:pPr>
              <w:pStyle w:val="187"/>
            </w:pPr>
            <w:r>
              <w:rPr>
                <w:rFonts w:hint="eastAsia"/>
                <w:szCs w:val="18"/>
              </w:rPr>
              <w:t>≤</w:t>
            </w:r>
            <w:r>
              <w:rPr>
                <w:szCs w:val="18"/>
              </w:rPr>
              <w:t>75</w:t>
            </w:r>
            <w:r>
              <w:rPr>
                <w:rFonts w:hint="eastAsia"/>
                <w:szCs w:val="18"/>
              </w:rPr>
              <w:t xml:space="preserve"> </w:t>
            </w:r>
            <w:r>
              <w:rPr>
                <w:color w:val="000000" w:themeColor="text1"/>
                <w:szCs w:val="18"/>
                <w14:textFill>
                  <w14:solidFill>
                    <w14:schemeClr w14:val="tx1"/>
                  </w14:solidFill>
                </w14:textFill>
              </w:rPr>
              <w:t>dB(A)</w:t>
            </w:r>
          </w:p>
        </w:tc>
      </w:tr>
    </w:tbl>
    <w:p w14:paraId="2E12935A">
      <w:pPr>
        <w:pStyle w:val="114"/>
        <w:numPr>
          <w:ilvl w:val="3"/>
          <w:numId w:val="35"/>
        </w:numPr>
        <w:spacing w:beforeLines="0" w:afterLines="0"/>
        <w:outlineLvl w:val="2"/>
        <w:rPr>
          <w:rFonts w:hint="eastAsia" w:ascii="宋体" w:hAnsi="宋体" w:eastAsia="宋体" w:cs="宋体"/>
          <w:color w:val="000000" w:themeColor="text1"/>
          <w:szCs w:val="21"/>
          <w14:textFill>
            <w14:solidFill>
              <w14:schemeClr w14:val="tx1"/>
            </w14:solidFill>
          </w14:textFill>
        </w:rPr>
      </w:pPr>
      <w:bookmarkStart w:id="503" w:name="_Toc204448583"/>
      <w:bookmarkStart w:id="504" w:name="_Toc208854198"/>
      <w:bookmarkStart w:id="505" w:name="_Toc204068470"/>
      <w:r>
        <w:rPr>
          <w:rFonts w:hint="eastAsia" w:ascii="宋体" w:hAnsi="宋体" w:eastAsia="宋体" w:cs="宋体"/>
          <w:szCs w:val="21"/>
        </w:rPr>
        <w:t>成套设备运转应平稳，启动应灵活，动作应可靠，无卡塞、阻滞、异常噪音和异常发热现象</w:t>
      </w:r>
      <w:r>
        <w:rPr>
          <w:rFonts w:hint="eastAsia" w:ascii="宋体" w:hAnsi="宋体" w:eastAsia="宋体" w:cs="宋体"/>
          <w:color w:val="000000" w:themeColor="text1"/>
          <w:szCs w:val="21"/>
          <w14:textFill>
            <w14:solidFill>
              <w14:schemeClr w14:val="tx1"/>
            </w14:solidFill>
          </w14:textFill>
        </w:rPr>
        <w:t>。</w:t>
      </w:r>
      <w:bookmarkEnd w:id="503"/>
      <w:bookmarkEnd w:id="504"/>
      <w:bookmarkEnd w:id="505"/>
    </w:p>
    <w:p w14:paraId="19ABA27D">
      <w:pPr>
        <w:pStyle w:val="114"/>
        <w:numPr>
          <w:ilvl w:val="3"/>
          <w:numId w:val="35"/>
        </w:numPr>
        <w:spacing w:beforeLines="0" w:afterLines="0"/>
        <w:outlineLvl w:val="2"/>
        <w:rPr>
          <w:rFonts w:hint="eastAsia" w:ascii="宋体" w:hAnsi="宋体" w:eastAsia="宋体" w:cs="宋体"/>
          <w:color w:val="000000" w:themeColor="text1"/>
          <w:szCs w:val="21"/>
          <w14:textFill>
            <w14:solidFill>
              <w14:schemeClr w14:val="tx1"/>
            </w14:solidFill>
          </w14:textFill>
        </w:rPr>
      </w:pPr>
      <w:bookmarkStart w:id="506" w:name="_Toc204448584"/>
      <w:bookmarkStart w:id="507" w:name="_Toc204068471"/>
      <w:bookmarkStart w:id="508" w:name="_Toc208854199"/>
      <w:r>
        <w:rPr>
          <w:rFonts w:hint="eastAsia" w:ascii="宋体" w:hAnsi="宋体" w:eastAsia="宋体" w:cs="宋体"/>
          <w:color w:val="000000" w:themeColor="text1"/>
          <w:szCs w:val="21"/>
          <w14:textFill>
            <w14:solidFill>
              <w14:schemeClr w14:val="tx1"/>
            </w14:solidFill>
          </w14:textFill>
        </w:rPr>
        <w:t>成套设备各单机衔接应准确，无漏料现象。</w:t>
      </w:r>
      <w:bookmarkEnd w:id="506"/>
      <w:bookmarkEnd w:id="507"/>
      <w:bookmarkEnd w:id="508"/>
    </w:p>
    <w:p w14:paraId="68855120">
      <w:pPr>
        <w:pStyle w:val="114"/>
        <w:numPr>
          <w:ilvl w:val="3"/>
          <w:numId w:val="35"/>
        </w:numPr>
        <w:spacing w:beforeLines="0" w:afterLines="0"/>
        <w:outlineLvl w:val="2"/>
        <w:rPr>
          <w:rFonts w:hint="eastAsia" w:ascii="宋体" w:hAnsi="宋体" w:eastAsia="宋体" w:cs="宋体"/>
          <w:color w:val="000000" w:themeColor="text1"/>
          <w:szCs w:val="21"/>
          <w14:textFill>
            <w14:solidFill>
              <w14:schemeClr w14:val="tx1"/>
            </w14:solidFill>
          </w14:textFill>
        </w:rPr>
      </w:pPr>
      <w:bookmarkStart w:id="509" w:name="_Toc208854200"/>
      <w:bookmarkStart w:id="510" w:name="_Toc204448585"/>
      <w:bookmarkStart w:id="511" w:name="_Toc204068472"/>
      <w:r>
        <w:rPr>
          <w:rFonts w:hint="eastAsia" w:ascii="宋体" w:hAnsi="宋体" w:eastAsia="宋体" w:cs="宋体"/>
          <w:color w:val="000000" w:themeColor="text1"/>
          <w:szCs w:val="21"/>
          <w14:textFill>
            <w14:solidFill>
              <w14:schemeClr w14:val="tx1"/>
            </w14:solidFill>
          </w14:textFill>
        </w:rPr>
        <w:t>成套设备应具有负载启动能力和过载保护措施。</w:t>
      </w:r>
      <w:bookmarkEnd w:id="509"/>
      <w:bookmarkEnd w:id="510"/>
      <w:bookmarkEnd w:id="511"/>
    </w:p>
    <w:p w14:paraId="5D862FE9">
      <w:pPr>
        <w:pStyle w:val="114"/>
        <w:numPr>
          <w:ilvl w:val="3"/>
          <w:numId w:val="35"/>
        </w:numPr>
        <w:spacing w:beforeLines="0" w:afterLines="0"/>
        <w:outlineLvl w:val="2"/>
        <w:rPr>
          <w:rFonts w:hint="eastAsia" w:ascii="宋体" w:hAnsi="宋体" w:eastAsia="宋体" w:cs="宋体"/>
          <w:color w:val="000000" w:themeColor="text1"/>
          <w:szCs w:val="21"/>
          <w14:textFill>
            <w14:solidFill>
              <w14:schemeClr w14:val="tx1"/>
            </w14:solidFill>
          </w14:textFill>
        </w:rPr>
      </w:pPr>
      <w:bookmarkStart w:id="512" w:name="_Toc208854201"/>
      <w:bookmarkStart w:id="513" w:name="_Toc204068473"/>
      <w:bookmarkStart w:id="514" w:name="_Toc204448586"/>
      <w:r>
        <w:rPr>
          <w:rFonts w:hint="eastAsia" w:ascii="宋体" w:hAnsi="宋体" w:eastAsia="宋体" w:cs="宋体"/>
          <w:color w:val="000000" w:themeColor="text1"/>
          <w:szCs w:val="21"/>
          <w14:textFill>
            <w14:solidFill>
              <w14:schemeClr w14:val="tx1"/>
            </w14:solidFill>
          </w14:textFill>
        </w:rPr>
        <w:t>成套设备工作噪声大于规定要求的位置应采取噪声隔离措施。</w:t>
      </w:r>
      <w:bookmarkEnd w:id="512"/>
      <w:bookmarkEnd w:id="513"/>
      <w:bookmarkEnd w:id="514"/>
    </w:p>
    <w:bookmarkEnd w:id="493"/>
    <w:p w14:paraId="7FE8DE13">
      <w:pPr>
        <w:pStyle w:val="268"/>
        <w:numPr>
          <w:ilvl w:val="1"/>
          <w:numId w:val="35"/>
        </w:numPr>
        <w:spacing w:before="240" w:after="240" w:line="240" w:lineRule="auto"/>
        <w:jc w:val="both"/>
        <w:rPr>
          <w:rFonts w:hint="eastAsia"/>
        </w:rPr>
      </w:pPr>
      <w:bookmarkStart w:id="515" w:name="_Toc196411915"/>
      <w:bookmarkEnd w:id="515"/>
      <w:bookmarkStart w:id="516" w:name="_Toc196411919"/>
      <w:bookmarkStart w:id="517" w:name="_Toc12330"/>
      <w:bookmarkStart w:id="518" w:name="_Toc2108"/>
      <w:bookmarkStart w:id="519" w:name="_Toc6510"/>
      <w:bookmarkStart w:id="520" w:name="_Toc13682"/>
      <w:bookmarkStart w:id="521" w:name="_Toc9759"/>
      <w:bookmarkStart w:id="522" w:name="_Toc208854202"/>
      <w:bookmarkStart w:id="523" w:name="_Toc10549"/>
      <w:bookmarkStart w:id="524" w:name="_Hlk107127502"/>
      <w:r>
        <w:rPr>
          <w:rFonts w:hint="eastAsia"/>
        </w:rPr>
        <w:t>试验方法</w:t>
      </w:r>
      <w:bookmarkEnd w:id="516"/>
      <w:bookmarkEnd w:id="517"/>
      <w:bookmarkEnd w:id="518"/>
      <w:bookmarkEnd w:id="519"/>
      <w:bookmarkEnd w:id="520"/>
      <w:bookmarkEnd w:id="521"/>
      <w:bookmarkEnd w:id="522"/>
      <w:bookmarkEnd w:id="523"/>
    </w:p>
    <w:bookmarkEnd w:id="371"/>
    <w:bookmarkEnd w:id="372"/>
    <w:bookmarkEnd w:id="373"/>
    <w:bookmarkEnd w:id="374"/>
    <w:bookmarkEnd w:id="375"/>
    <w:bookmarkEnd w:id="376"/>
    <w:bookmarkEnd w:id="377"/>
    <w:bookmarkEnd w:id="378"/>
    <w:bookmarkEnd w:id="524"/>
    <w:p w14:paraId="239C7657">
      <w:pPr>
        <w:pStyle w:val="114"/>
        <w:numPr>
          <w:ilvl w:val="2"/>
          <w:numId w:val="35"/>
        </w:numPr>
        <w:spacing w:before="120" w:after="120"/>
        <w:rPr>
          <w:rFonts w:hint="eastAsia" w:hAnsi="黑体"/>
          <w:szCs w:val="21"/>
        </w:rPr>
      </w:pPr>
      <w:bookmarkStart w:id="525" w:name="_Toc85527769"/>
      <w:bookmarkStart w:id="526" w:name="_Toc1904"/>
      <w:bookmarkStart w:id="527" w:name="_Toc94259954"/>
      <w:bookmarkStart w:id="528" w:name="_Toc77186063"/>
      <w:bookmarkStart w:id="529" w:name="_Toc196411920"/>
      <w:bookmarkStart w:id="530" w:name="_Toc208854203"/>
      <w:bookmarkStart w:id="531" w:name="_Toc12084"/>
      <w:bookmarkStart w:id="532" w:name="_Toc14839"/>
      <w:bookmarkStart w:id="533" w:name="_Toc32469"/>
      <w:bookmarkStart w:id="534" w:name="_Toc24536"/>
      <w:bookmarkStart w:id="535" w:name="_Toc18830"/>
      <w:bookmarkStart w:id="536" w:name="_Hlk107127527"/>
      <w:r>
        <w:rPr>
          <w:rFonts w:hint="eastAsia" w:hAnsi="黑体"/>
          <w:szCs w:val="21"/>
        </w:rPr>
        <w:t>试验条件</w:t>
      </w:r>
      <w:bookmarkEnd w:id="525"/>
      <w:bookmarkEnd w:id="526"/>
      <w:bookmarkEnd w:id="527"/>
      <w:bookmarkEnd w:id="528"/>
      <w:bookmarkEnd w:id="529"/>
      <w:bookmarkEnd w:id="530"/>
      <w:bookmarkEnd w:id="531"/>
      <w:bookmarkEnd w:id="532"/>
      <w:bookmarkEnd w:id="533"/>
      <w:bookmarkEnd w:id="534"/>
      <w:bookmarkEnd w:id="535"/>
    </w:p>
    <w:p w14:paraId="4474AFC3">
      <w:pPr>
        <w:numPr>
          <w:ilvl w:val="3"/>
          <w:numId w:val="38"/>
        </w:numPr>
        <w:adjustRightInd/>
        <w:spacing w:line="240" w:lineRule="auto"/>
        <w:jc w:val="both"/>
        <w:outlineLvl w:val="2"/>
        <w:rPr>
          <w:rFonts w:hint="eastAsia" w:ascii="宋体" w:hAnsi="宋体" w:cs="宋体"/>
        </w:rPr>
      </w:pPr>
      <w:r>
        <w:rPr>
          <w:rFonts w:hint="eastAsia" w:ascii="宋体" w:hAnsi="宋体" w:cs="宋体"/>
        </w:rPr>
        <w:t>试验环境温度为20 ℃</w:t>
      </w:r>
      <w:r>
        <w:rPr>
          <w:rFonts w:hint="eastAsia" w:ascii="宋体" w:hAnsi="宋体" w:cs="宋体"/>
          <w:kern w:val="0"/>
        </w:rPr>
        <w:t>～</w:t>
      </w:r>
      <w:r>
        <w:rPr>
          <w:rFonts w:hint="eastAsia" w:ascii="宋体" w:hAnsi="宋体" w:cs="宋体"/>
        </w:rPr>
        <w:t>40 ℃。</w:t>
      </w:r>
    </w:p>
    <w:p w14:paraId="4B87A29B">
      <w:pPr>
        <w:numPr>
          <w:ilvl w:val="3"/>
          <w:numId w:val="38"/>
        </w:numPr>
        <w:adjustRightInd/>
        <w:spacing w:line="240" w:lineRule="auto"/>
        <w:jc w:val="both"/>
        <w:outlineLvl w:val="2"/>
        <w:rPr>
          <w:rFonts w:hint="eastAsia" w:ascii="宋体" w:hAnsi="宋体" w:cs="宋体"/>
        </w:rPr>
      </w:pPr>
      <w:r>
        <w:rPr>
          <w:rFonts w:hint="eastAsia" w:ascii="宋体" w:hAnsi="宋体" w:cs="宋体"/>
        </w:rPr>
        <w:t>试验相对湿度不应大于70%。</w:t>
      </w:r>
    </w:p>
    <w:p w14:paraId="2D75FB30">
      <w:pPr>
        <w:numPr>
          <w:ilvl w:val="3"/>
          <w:numId w:val="38"/>
        </w:numPr>
        <w:adjustRightInd/>
        <w:spacing w:line="240" w:lineRule="auto"/>
        <w:jc w:val="both"/>
        <w:outlineLvl w:val="2"/>
        <w:rPr>
          <w:rFonts w:hint="eastAsia" w:ascii="宋体" w:hAnsi="宋体" w:cs="宋体"/>
        </w:rPr>
      </w:pPr>
      <w:r>
        <w:rPr>
          <w:rFonts w:hint="eastAsia" w:ascii="宋体" w:hAnsi="宋体" w:cs="宋体"/>
        </w:rPr>
        <w:t>海拔不应大于1000 m。</w:t>
      </w:r>
    </w:p>
    <w:p w14:paraId="223222FA">
      <w:pPr>
        <w:numPr>
          <w:ilvl w:val="3"/>
          <w:numId w:val="38"/>
        </w:numPr>
        <w:adjustRightInd/>
        <w:spacing w:line="240" w:lineRule="auto"/>
        <w:jc w:val="both"/>
        <w:outlineLvl w:val="2"/>
        <w:rPr>
          <w:rFonts w:hint="eastAsia" w:ascii="宋体" w:hAnsi="宋体" w:cs="宋体"/>
        </w:rPr>
      </w:pPr>
      <w:r>
        <w:rPr>
          <w:rFonts w:hint="eastAsia" w:ascii="宋体" w:hAnsi="宋体" w:cs="宋体"/>
        </w:rPr>
        <w:t>生产用水：</w:t>
      </w:r>
      <w:r>
        <w:rPr>
          <w:rFonts w:ascii="宋体" w:hAnsi="宋体"/>
          <w:color w:val="000000" w:themeColor="text1"/>
          <w14:textFill>
            <w14:solidFill>
              <w14:schemeClr w14:val="tx1"/>
            </w14:solidFill>
          </w14:textFill>
        </w:rPr>
        <w:t>pH值为7.2～7.5，总硬度为350</w:t>
      </w:r>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mg/L～410</w:t>
      </w:r>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mg/L</w:t>
      </w:r>
      <w:r>
        <w:rPr>
          <w:rFonts w:hint="eastAsia" w:ascii="宋体" w:hAnsi="宋体"/>
          <w:color w:val="000000" w:themeColor="text1"/>
          <w14:textFill>
            <w14:solidFill>
              <w14:schemeClr w14:val="tx1"/>
            </w14:solidFill>
          </w14:textFill>
        </w:rPr>
        <w:t>，其他指标应符合GB</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5749的规定。</w:t>
      </w:r>
    </w:p>
    <w:p w14:paraId="78748FAF">
      <w:pPr>
        <w:numPr>
          <w:ilvl w:val="3"/>
          <w:numId w:val="38"/>
        </w:numPr>
        <w:adjustRightInd/>
        <w:spacing w:line="240" w:lineRule="auto"/>
        <w:jc w:val="both"/>
        <w:outlineLvl w:val="2"/>
        <w:rPr>
          <w:rFonts w:hint="eastAsia" w:ascii="宋体" w:hAnsi="宋体" w:cs="宋体"/>
        </w:rPr>
      </w:pPr>
      <w:r>
        <w:rPr>
          <w:rFonts w:hint="eastAsia" w:ascii="宋体" w:hAnsi="宋体" w:cs="宋体"/>
        </w:rPr>
        <w:t>试验用料为干燥谷物。</w:t>
      </w:r>
    </w:p>
    <w:p w14:paraId="2AB915A0">
      <w:pPr>
        <w:numPr>
          <w:ilvl w:val="3"/>
          <w:numId w:val="38"/>
        </w:numPr>
        <w:adjustRightInd/>
        <w:spacing w:line="240" w:lineRule="auto"/>
        <w:jc w:val="both"/>
        <w:outlineLvl w:val="2"/>
        <w:rPr>
          <w:rFonts w:hint="eastAsia" w:ascii="宋体" w:hAnsi="宋体" w:cs="宋体"/>
        </w:rPr>
      </w:pPr>
      <w:r>
        <w:rPr>
          <w:rFonts w:hint="eastAsia" w:ascii="宋体" w:hAnsi="宋体" w:cs="宋体"/>
          <w:color w:val="000000" w:themeColor="text1"/>
          <w14:textFill>
            <w14:solidFill>
              <w14:schemeClr w14:val="tx1"/>
            </w14:solidFill>
          </w14:textFill>
        </w:rPr>
        <w:t>设备应满足空载和负载试验条件。</w:t>
      </w:r>
    </w:p>
    <w:bookmarkEnd w:id="536"/>
    <w:p w14:paraId="197F6814">
      <w:pPr>
        <w:pStyle w:val="114"/>
        <w:numPr>
          <w:ilvl w:val="2"/>
          <w:numId w:val="38"/>
        </w:numPr>
        <w:spacing w:before="120" w:after="120"/>
        <w:rPr>
          <w:szCs w:val="21"/>
        </w:rPr>
      </w:pPr>
      <w:bookmarkStart w:id="537" w:name="_Toc208854204"/>
      <w:bookmarkStart w:id="538" w:name="_Toc19132"/>
      <w:bookmarkStart w:id="539" w:name="_Toc196411922"/>
      <w:bookmarkStart w:id="540" w:name="_Toc5200"/>
      <w:bookmarkStart w:id="541" w:name="_Toc2659"/>
      <w:bookmarkStart w:id="542" w:name="_Toc18604"/>
      <w:bookmarkStart w:id="543" w:name="_Toc28033"/>
      <w:bookmarkStart w:id="544" w:name="_Toc28783"/>
      <w:bookmarkStart w:id="545" w:name="_Hlk107127559"/>
      <w:bookmarkStart w:id="546" w:name="_Toc94259955"/>
      <w:bookmarkStart w:id="547" w:name="_Toc77186064"/>
      <w:bookmarkStart w:id="548" w:name="_Toc85527770"/>
      <w:r>
        <w:rPr>
          <w:rFonts w:hint="eastAsia"/>
          <w:szCs w:val="21"/>
        </w:rPr>
        <w:t>材料要求检查</w:t>
      </w:r>
      <w:bookmarkEnd w:id="537"/>
      <w:bookmarkEnd w:id="538"/>
      <w:bookmarkEnd w:id="539"/>
      <w:bookmarkEnd w:id="540"/>
      <w:bookmarkEnd w:id="541"/>
      <w:bookmarkEnd w:id="542"/>
      <w:bookmarkEnd w:id="543"/>
      <w:bookmarkEnd w:id="544"/>
    </w:p>
    <w:bookmarkEnd w:id="545"/>
    <w:bookmarkEnd w:id="546"/>
    <w:p w14:paraId="47C88FA5">
      <w:pPr>
        <w:pStyle w:val="65"/>
        <w:ind w:firstLine="420"/>
        <w:rPr>
          <w:rFonts w:hint="eastAsia" w:hAnsi="宋体" w:cs="宋体"/>
          <w:color w:val="000000" w:themeColor="text1"/>
          <w:szCs w:val="21"/>
          <w14:textFill>
            <w14:solidFill>
              <w14:schemeClr w14:val="tx1"/>
            </w14:solidFill>
          </w14:textFill>
        </w:rPr>
      </w:pPr>
      <w:bookmarkStart w:id="549" w:name="_Toc204448591"/>
      <w:bookmarkStart w:id="550" w:name="_Toc196300181"/>
      <w:bookmarkStart w:id="551" w:name="_Toc196411924"/>
      <w:r>
        <w:rPr>
          <w:rFonts w:hint="eastAsia" w:hAnsi="宋体" w:cs="宋体"/>
          <w:kern w:val="2"/>
          <w:szCs w:val="21"/>
        </w:rPr>
        <w:t>检查成套设备材质报告单及质量合格证明书。</w:t>
      </w:r>
      <w:bookmarkEnd w:id="549"/>
      <w:bookmarkEnd w:id="550"/>
      <w:bookmarkEnd w:id="551"/>
    </w:p>
    <w:p w14:paraId="743B989C">
      <w:pPr>
        <w:pStyle w:val="114"/>
        <w:numPr>
          <w:ilvl w:val="2"/>
          <w:numId w:val="38"/>
        </w:numPr>
        <w:spacing w:before="120" w:after="120"/>
        <w:rPr>
          <w:rFonts w:hint="eastAsia" w:hAnsi="黑体" w:cs="宋体"/>
        </w:rPr>
      </w:pPr>
      <w:bookmarkStart w:id="552" w:name="_Toc94259956"/>
      <w:bookmarkStart w:id="553" w:name="_Toc19357"/>
      <w:bookmarkStart w:id="554" w:name="_Toc14686"/>
      <w:bookmarkStart w:id="555" w:name="_Toc19062"/>
      <w:bookmarkStart w:id="556" w:name="_Toc12193"/>
      <w:bookmarkStart w:id="557" w:name="_Toc24799"/>
      <w:bookmarkStart w:id="558" w:name="_Toc27231"/>
      <w:bookmarkStart w:id="559" w:name="_Toc196411930"/>
      <w:bookmarkStart w:id="560" w:name="_Toc208854205"/>
      <w:r>
        <w:rPr>
          <w:rFonts w:hint="eastAsia" w:hAnsi="黑体" w:cs="宋体"/>
          <w:szCs w:val="21"/>
        </w:rPr>
        <w:t>加工要求检查</w:t>
      </w:r>
      <w:bookmarkEnd w:id="552"/>
      <w:bookmarkEnd w:id="553"/>
      <w:bookmarkEnd w:id="554"/>
      <w:bookmarkEnd w:id="555"/>
      <w:bookmarkEnd w:id="556"/>
      <w:bookmarkEnd w:id="557"/>
      <w:bookmarkEnd w:id="558"/>
      <w:bookmarkEnd w:id="559"/>
      <w:bookmarkEnd w:id="560"/>
    </w:p>
    <w:p w14:paraId="2D5A998D">
      <w:pPr>
        <w:pStyle w:val="114"/>
        <w:numPr>
          <w:ilvl w:val="3"/>
          <w:numId w:val="38"/>
        </w:numPr>
        <w:spacing w:beforeLines="0" w:afterLines="0"/>
        <w:outlineLvl w:val="2"/>
        <w:rPr>
          <w:rFonts w:hint="eastAsia" w:ascii="宋体" w:hAnsi="宋体" w:eastAsia="宋体" w:cs="宋体"/>
        </w:rPr>
      </w:pPr>
      <w:bookmarkStart w:id="561" w:name="_Toc204448593"/>
      <w:bookmarkStart w:id="562" w:name="_Toc196411931"/>
      <w:bookmarkStart w:id="563" w:name="_Toc208854206"/>
      <w:bookmarkStart w:id="564" w:name="_Toc196300187"/>
      <w:r>
        <w:rPr>
          <w:rFonts w:hint="eastAsia" w:ascii="宋体" w:hAnsi="宋体" w:eastAsia="宋体" w:cs="宋体"/>
          <w:color w:val="000000"/>
          <w:szCs w:val="21"/>
        </w:rPr>
        <w:t>按SB/T 223的规定</w:t>
      </w:r>
      <w:r>
        <w:rPr>
          <w:rFonts w:hint="eastAsia" w:ascii="宋体" w:hAnsi="宋体" w:eastAsia="宋体" w:cs="宋体"/>
          <w:szCs w:val="24"/>
        </w:rPr>
        <w:t>检查零部件的机械加工质量。</w:t>
      </w:r>
      <w:bookmarkEnd w:id="561"/>
      <w:bookmarkEnd w:id="562"/>
      <w:bookmarkEnd w:id="563"/>
      <w:bookmarkEnd w:id="564"/>
    </w:p>
    <w:p w14:paraId="07C179E3">
      <w:pPr>
        <w:pStyle w:val="114"/>
        <w:numPr>
          <w:ilvl w:val="3"/>
          <w:numId w:val="38"/>
        </w:numPr>
        <w:spacing w:beforeLines="0" w:afterLines="0"/>
        <w:outlineLvl w:val="2"/>
        <w:rPr>
          <w:rFonts w:hint="eastAsia" w:ascii="宋体" w:hAnsi="宋体" w:eastAsia="宋体" w:cs="宋体"/>
        </w:rPr>
      </w:pPr>
      <w:bookmarkStart w:id="565" w:name="_Toc204448594"/>
      <w:bookmarkStart w:id="566" w:name="_Toc196411932"/>
      <w:bookmarkStart w:id="567" w:name="_Toc196300188"/>
      <w:bookmarkStart w:id="568" w:name="_Toc208854207"/>
      <w:r>
        <w:rPr>
          <w:rFonts w:hint="eastAsia" w:ascii="宋体" w:hAnsi="宋体" w:eastAsia="宋体" w:cs="宋体"/>
          <w:color w:val="000000"/>
          <w:szCs w:val="21"/>
        </w:rPr>
        <w:t>按SB/T 225的规定</w:t>
      </w:r>
      <w:r>
        <w:rPr>
          <w:rFonts w:hint="eastAsia" w:ascii="宋体" w:hAnsi="宋体" w:eastAsia="宋体" w:cs="宋体"/>
        </w:rPr>
        <w:t>检查成套设备铸件质量。</w:t>
      </w:r>
      <w:bookmarkEnd w:id="565"/>
      <w:bookmarkEnd w:id="566"/>
      <w:bookmarkEnd w:id="567"/>
      <w:bookmarkEnd w:id="568"/>
    </w:p>
    <w:p w14:paraId="246DADC4">
      <w:pPr>
        <w:pStyle w:val="114"/>
        <w:numPr>
          <w:ilvl w:val="3"/>
          <w:numId w:val="38"/>
        </w:numPr>
        <w:spacing w:beforeLines="0" w:afterLines="0"/>
        <w:outlineLvl w:val="2"/>
        <w:rPr>
          <w:rFonts w:hint="eastAsia" w:ascii="宋体" w:hAnsi="宋体" w:eastAsia="宋体" w:cs="宋体"/>
        </w:rPr>
      </w:pPr>
      <w:bookmarkStart w:id="569" w:name="_Toc208854208"/>
      <w:bookmarkStart w:id="570" w:name="_Toc196300189"/>
      <w:bookmarkStart w:id="571" w:name="_Toc196411933"/>
      <w:bookmarkStart w:id="572" w:name="_Toc204448595"/>
      <w:r>
        <w:rPr>
          <w:rFonts w:hint="eastAsia" w:ascii="宋体" w:hAnsi="宋体" w:eastAsia="宋体" w:cs="宋体"/>
        </w:rPr>
        <w:t>按</w:t>
      </w:r>
      <w:r>
        <w:rPr>
          <w:rFonts w:hint="eastAsia" w:ascii="宋体" w:hAnsi="宋体" w:eastAsia="宋体" w:cs="宋体"/>
          <w:color w:val="000000"/>
          <w:szCs w:val="21"/>
        </w:rPr>
        <w:t>SB/T 226的规定检</w:t>
      </w:r>
      <w:r>
        <w:rPr>
          <w:rFonts w:hint="eastAsia" w:ascii="宋体" w:hAnsi="宋体" w:eastAsia="宋体" w:cs="宋体"/>
        </w:rPr>
        <w:t>查成套设备焊接件质量。</w:t>
      </w:r>
      <w:bookmarkEnd w:id="569"/>
      <w:bookmarkEnd w:id="570"/>
      <w:bookmarkEnd w:id="571"/>
      <w:bookmarkEnd w:id="572"/>
    </w:p>
    <w:p w14:paraId="1EB009CD">
      <w:pPr>
        <w:pStyle w:val="114"/>
        <w:numPr>
          <w:ilvl w:val="3"/>
          <w:numId w:val="38"/>
        </w:numPr>
        <w:spacing w:beforeLines="0" w:afterLines="0"/>
        <w:outlineLvl w:val="2"/>
        <w:rPr>
          <w:rFonts w:hint="eastAsia" w:ascii="宋体" w:hAnsi="宋体" w:eastAsia="宋体" w:cs="宋体"/>
        </w:rPr>
      </w:pPr>
      <w:bookmarkStart w:id="573" w:name="_Toc196411934"/>
      <w:bookmarkStart w:id="574" w:name="_Toc204448596"/>
      <w:bookmarkStart w:id="575" w:name="_Toc28911"/>
      <w:bookmarkStart w:id="576" w:name="_Toc196300190"/>
      <w:bookmarkStart w:id="577" w:name="_Toc208854209"/>
      <w:bookmarkStart w:id="578" w:name="_Toc24365"/>
      <w:r>
        <w:rPr>
          <w:rFonts w:hint="eastAsia" w:ascii="宋体" w:hAnsi="宋体" w:eastAsia="宋体" w:cs="宋体"/>
        </w:rPr>
        <w:t>按SB/T 228的规定检查成套设备表面涂漆质量。</w:t>
      </w:r>
      <w:bookmarkEnd w:id="573"/>
      <w:bookmarkEnd w:id="574"/>
      <w:bookmarkEnd w:id="575"/>
      <w:bookmarkEnd w:id="576"/>
      <w:bookmarkEnd w:id="577"/>
      <w:bookmarkEnd w:id="578"/>
    </w:p>
    <w:p w14:paraId="6274CFE4">
      <w:pPr>
        <w:pStyle w:val="114"/>
        <w:numPr>
          <w:ilvl w:val="2"/>
          <w:numId w:val="38"/>
        </w:numPr>
        <w:spacing w:before="120" w:after="120"/>
        <w:rPr>
          <w:rFonts w:hint="eastAsia" w:hAnsi="黑体" w:cs="宋体"/>
          <w:szCs w:val="21"/>
        </w:rPr>
      </w:pPr>
      <w:bookmarkStart w:id="579" w:name="_Toc16006"/>
      <w:bookmarkStart w:id="580" w:name="_Toc32201"/>
      <w:bookmarkStart w:id="581" w:name="_Toc8627"/>
      <w:bookmarkStart w:id="582" w:name="_Toc26058"/>
      <w:bookmarkStart w:id="583" w:name="_Toc208854210"/>
      <w:bookmarkStart w:id="584" w:name="_Toc9914"/>
      <w:bookmarkStart w:id="585" w:name="_Toc62"/>
      <w:bookmarkStart w:id="586" w:name="_Toc196411936"/>
      <w:bookmarkStart w:id="587" w:name="_Toc19335"/>
      <w:bookmarkStart w:id="588" w:name="_Toc16193"/>
      <w:r>
        <w:rPr>
          <w:rFonts w:hint="eastAsia" w:hAnsi="黑体" w:cs="宋体"/>
          <w:szCs w:val="21"/>
        </w:rPr>
        <w:t>主要</w:t>
      </w:r>
      <w:bookmarkEnd w:id="579"/>
      <w:bookmarkEnd w:id="580"/>
      <w:r>
        <w:rPr>
          <w:rFonts w:hint="eastAsia" w:hAnsi="黑体" w:cs="宋体"/>
          <w:szCs w:val="21"/>
        </w:rPr>
        <w:t>单机和系统要求检查</w:t>
      </w:r>
      <w:bookmarkEnd w:id="581"/>
      <w:bookmarkEnd w:id="582"/>
      <w:bookmarkEnd w:id="583"/>
      <w:bookmarkEnd w:id="584"/>
      <w:bookmarkEnd w:id="585"/>
      <w:bookmarkEnd w:id="586"/>
      <w:bookmarkEnd w:id="587"/>
      <w:bookmarkEnd w:id="588"/>
    </w:p>
    <w:p w14:paraId="3658568A">
      <w:pPr>
        <w:pStyle w:val="114"/>
        <w:numPr>
          <w:ilvl w:val="3"/>
          <w:numId w:val="38"/>
        </w:numPr>
        <w:spacing w:before="120" w:beforeLines="0" w:after="120" w:afterLines="0"/>
        <w:outlineLvl w:val="2"/>
        <w:rPr>
          <w:rFonts w:hint="eastAsia" w:hAnsi="黑体" w:cs="宋体"/>
        </w:rPr>
      </w:pPr>
      <w:bookmarkStart w:id="589" w:name="_Toc208854211"/>
      <w:bookmarkStart w:id="590" w:name="_Toc204448598"/>
      <w:bookmarkStart w:id="591" w:name="_Toc196300194"/>
      <w:bookmarkStart w:id="592" w:name="_Toc196411939"/>
      <w:r>
        <w:rPr>
          <w:rFonts w:hint="eastAsia" w:hAnsi="黑体" w:cs="宋体"/>
        </w:rPr>
        <w:t>气动系统检查</w:t>
      </w:r>
      <w:bookmarkEnd w:id="589"/>
      <w:bookmarkEnd w:id="590"/>
    </w:p>
    <w:p w14:paraId="75FCB782">
      <w:pPr>
        <w:pStyle w:val="65"/>
        <w:ind w:firstLine="420"/>
        <w:rPr>
          <w:rFonts w:hint="eastAsia" w:hAnsi="宋体" w:cs="宋体"/>
          <w:szCs w:val="21"/>
        </w:rPr>
      </w:pPr>
      <w:r>
        <w:rPr>
          <w:rFonts w:hint="eastAsia" w:hAnsi="宋体" w:cs="宋体"/>
          <w:szCs w:val="21"/>
        </w:rPr>
        <w:t>按GB/T 7932的规定检查成套设备气动系统。</w:t>
      </w:r>
    </w:p>
    <w:p w14:paraId="7B18EC16">
      <w:pPr>
        <w:pStyle w:val="114"/>
        <w:numPr>
          <w:ilvl w:val="3"/>
          <w:numId w:val="38"/>
        </w:numPr>
        <w:spacing w:before="120" w:beforeLines="0" w:after="120" w:afterLines="0"/>
        <w:outlineLvl w:val="2"/>
        <w:rPr>
          <w:rFonts w:hint="eastAsia" w:hAnsi="黑体" w:cs="宋体"/>
        </w:rPr>
      </w:pPr>
      <w:bookmarkStart w:id="593" w:name="_Toc208854212"/>
      <w:bookmarkStart w:id="594" w:name="_Toc204448606"/>
      <w:r>
        <w:rPr>
          <w:rFonts w:hint="eastAsia" w:hAnsi="黑体" w:cs="宋体"/>
        </w:rPr>
        <w:t>清洗浸泡设备泡发合格率试验</w:t>
      </w:r>
      <w:bookmarkEnd w:id="593"/>
      <w:bookmarkEnd w:id="594"/>
    </w:p>
    <w:p w14:paraId="0625FD8F">
      <w:pPr>
        <w:pStyle w:val="65"/>
        <w:ind w:firstLine="420"/>
        <w:rPr>
          <w:rFonts w:hint="eastAsia" w:hAnsi="宋体" w:cs="宋体"/>
          <w:szCs w:val="21"/>
        </w:rPr>
      </w:pPr>
      <w:r>
        <w:rPr>
          <w:rFonts w:hint="eastAsia" w:hAnsi="宋体" w:cs="宋体"/>
          <w:szCs w:val="21"/>
        </w:rPr>
        <w:t>清洗浸泡设备正常运行时，随机抽取泡发完成的谷物，用精度不低于0.1 g的电子天平称取100 g谷物，统计泡发体积和泡发状态均满足生产需要的泡发合格的干燥谷物质量，按公式（1）计算泡发合格率，重复进行三次。</w:t>
      </w:r>
    </w:p>
    <w:p w14:paraId="7A7D0A46">
      <w:pPr>
        <w:tabs>
          <w:tab w:val="center" w:leader="middleDot" w:pos="5250"/>
          <w:tab w:val="center" w:pos="31680"/>
        </w:tabs>
        <w:autoSpaceDE w:val="0"/>
        <w:autoSpaceDN w:val="0"/>
        <w:adjustRightInd/>
        <w:spacing w:line="240" w:lineRule="auto"/>
        <w:ind w:firstLine="420"/>
        <w:jc w:val="right"/>
        <w:rPr>
          <w:rFonts w:ascii="Times New Roman" w:hAnsi="Times New Roman"/>
        </w:rPr>
      </w:pPr>
      <w:bookmarkStart w:id="595" w:name="_Hlk208998733"/>
      <w:bookmarkStart w:id="596" w:name="_Hlk204346813"/>
      <m:oMath>
        <m:r>
          <m:rPr/>
          <w:rPr>
            <w:rFonts w:ascii="Cambria Math" w:hAnsi="Cambria Math"/>
          </w:rPr>
          <m:t>R=</m:t>
        </m:r>
        <m:f>
          <m:fPr>
            <m:ctrlPr>
              <w:rPr>
                <w:rFonts w:ascii="Cambria Math" w:hAnsi="Cambria Math"/>
                <w:i/>
              </w:rPr>
            </m:ctrlPr>
          </m:fPr>
          <m:num>
            <m:sSub>
              <m:sSubPr>
                <m:ctrlPr>
                  <w:rPr>
                    <w:rFonts w:ascii="Cambria Math" w:hAnsi="Cambria Math"/>
                    <w:i/>
                  </w:rPr>
                </m:ctrlPr>
              </m:sSubPr>
              <m:e>
                <m:r>
                  <m:rPr/>
                  <w:rPr>
                    <w:rFonts w:hint="eastAsia" w:ascii="Cambria Math" w:hAnsi="Cambria Math"/>
                  </w:rPr>
                  <m:t>m</m:t>
                </m:r>
                <m:ctrlPr>
                  <w:rPr>
                    <w:rFonts w:ascii="Cambria Math" w:hAnsi="Cambria Math"/>
                    <w:i/>
                  </w:rPr>
                </m:ctrlPr>
              </m:e>
              <m:sub>
                <m:r>
                  <m:rPr/>
                  <w:rPr>
                    <w:rFonts w:ascii="Cambria Math" w:hAnsi="Cambria Math"/>
                  </w:rPr>
                  <m:t>1</m:t>
                </m:r>
                <m:ctrlPr>
                  <w:rPr>
                    <w:rFonts w:ascii="Cambria Math" w:hAnsi="Cambria Math"/>
                    <w:i/>
                  </w:rPr>
                </m:ctrlPr>
              </m:sub>
            </m:sSub>
            <m:ctrlPr>
              <w:rPr>
                <w:rFonts w:ascii="Cambria Math" w:hAnsi="Cambria Math"/>
                <w:i/>
              </w:rPr>
            </m:ctrlPr>
          </m:num>
          <m:den>
            <m:r>
              <m:rPr/>
              <w:rPr>
                <w:rFonts w:ascii="Cambria Math" w:hAnsi="Cambria Math"/>
              </w:rPr>
              <m:t>100</m:t>
            </m:r>
            <m:ctrlPr>
              <w:rPr>
                <w:rFonts w:ascii="Cambria Math" w:hAnsi="Cambria Math"/>
                <w:i/>
              </w:rPr>
            </m:ctrlPr>
          </m:den>
        </m:f>
        <m:r>
          <m:rPr/>
          <w:rPr>
            <w:rFonts w:ascii="Cambria Math" w:hAnsi="Cambria Math"/>
          </w:rPr>
          <m:t>×100%</m:t>
        </m:r>
      </m:oMath>
      <w:r>
        <w:rPr>
          <w:rFonts w:ascii="Times New Roman" w:hAnsi="Times New Roman"/>
        </w:rPr>
        <w:t xml:space="preserve"> </w:t>
      </w:r>
      <w:r>
        <w:rPr>
          <w:rFonts w:ascii="Times New Roman" w:hAnsi="Times New Roman"/>
        </w:rPr>
        <w:tab/>
      </w:r>
      <w:r>
        <w:rPr>
          <w:rFonts w:hint="eastAsia" w:ascii="Times New Roman" w:hAnsi="Times New Roman"/>
        </w:rPr>
        <w:t>（1）</w:t>
      </w:r>
    </w:p>
    <w:bookmarkEnd w:id="595"/>
    <w:p w14:paraId="2A000988">
      <w:pPr>
        <w:pStyle w:val="65"/>
        <w:ind w:firstLine="420"/>
        <w:rPr>
          <w:rFonts w:hint="eastAsia" w:hAnsi="宋体" w:cs="宋体"/>
          <w:szCs w:val="21"/>
        </w:rPr>
      </w:pPr>
      <w:r>
        <w:rPr>
          <w:rFonts w:hint="eastAsia" w:hAnsi="宋体" w:cs="宋体"/>
          <w:szCs w:val="21"/>
        </w:rPr>
        <w:t>式中：</w:t>
      </w:r>
    </w:p>
    <w:p w14:paraId="5E7A61AC">
      <w:pPr>
        <w:pStyle w:val="65"/>
        <w:ind w:firstLine="420"/>
        <w:rPr>
          <w:rFonts w:hint="eastAsia" w:hAnsi="宋体" w:cs="宋体"/>
          <w:szCs w:val="21"/>
        </w:rPr>
      </w:pPr>
      <m:oMath>
        <m:r>
          <m:rPr/>
          <w:rPr>
            <w:rFonts w:ascii="Cambria Math" w:hAnsi="Cambria Math" w:cs="宋体"/>
          </w:rPr>
          <m:t>R</m:t>
        </m:r>
      </m:oMath>
      <w:r>
        <w:rPr>
          <w:rFonts w:hint="eastAsia" w:hAnsi="宋体" w:cs="宋体"/>
          <w:szCs w:val="21"/>
        </w:rPr>
        <w:t>——浸泡合格率，%；</w:t>
      </w:r>
    </w:p>
    <w:p w14:paraId="1801F754">
      <w:pPr>
        <w:pStyle w:val="65"/>
        <w:ind w:firstLine="420"/>
        <w:rPr>
          <w:rFonts w:hint="eastAsia" w:hAnsi="宋体" w:cs="宋体"/>
          <w:szCs w:val="21"/>
        </w:rPr>
      </w:pPr>
      <m:oMath>
        <m:sSub>
          <m:sSubPr>
            <m:ctrlPr>
              <w:rPr>
                <w:rFonts w:ascii="Cambria Math" w:hAnsi="Cambria Math" w:cs="宋体"/>
                <w:i/>
              </w:rPr>
            </m:ctrlPr>
          </m:sSubPr>
          <m:e>
            <m:r>
              <m:rPr/>
              <w:rPr>
                <w:rFonts w:hint="eastAsia" w:ascii="Cambria Math" w:hAnsi="Cambria Math" w:cs="宋体"/>
              </w:rPr>
              <m:t>m</m:t>
            </m:r>
            <m:ctrlPr>
              <w:rPr>
                <w:rFonts w:ascii="Cambria Math" w:hAnsi="Cambria Math" w:cs="宋体"/>
                <w:i/>
              </w:rPr>
            </m:ctrlPr>
          </m:e>
          <m:sub>
            <m:r>
              <m:rPr/>
              <w:rPr>
                <w:rFonts w:ascii="Cambria Math" w:hAnsi="Cambria Math" w:cs="宋体"/>
              </w:rPr>
              <m:t>1</m:t>
            </m:r>
            <m:ctrlPr>
              <w:rPr>
                <w:rFonts w:ascii="Cambria Math" w:hAnsi="Cambria Math" w:cs="宋体"/>
                <w:i/>
              </w:rPr>
            </m:ctrlPr>
          </m:sub>
        </m:sSub>
      </m:oMath>
      <w:r>
        <w:rPr>
          <w:rFonts w:hint="eastAsia" w:hAnsi="宋体" w:cs="宋体"/>
          <w:szCs w:val="21"/>
        </w:rPr>
        <w:t>——泡发合格的干燥谷物质量，单位为克（g）。</w:t>
      </w:r>
    </w:p>
    <w:bookmarkEnd w:id="591"/>
    <w:bookmarkEnd w:id="592"/>
    <w:bookmarkEnd w:id="596"/>
    <w:p w14:paraId="1E79FDF3">
      <w:pPr>
        <w:pStyle w:val="114"/>
        <w:numPr>
          <w:ilvl w:val="2"/>
          <w:numId w:val="38"/>
        </w:numPr>
        <w:spacing w:before="120" w:after="120"/>
        <w:rPr>
          <w:rFonts w:hint="eastAsia" w:hAnsi="黑体" w:cs="宋体"/>
          <w:szCs w:val="21"/>
        </w:rPr>
      </w:pPr>
      <w:bookmarkStart w:id="597" w:name="_Toc14364"/>
      <w:bookmarkStart w:id="598" w:name="_Toc11104"/>
      <w:bookmarkStart w:id="599" w:name="_Toc208854213"/>
      <w:bookmarkStart w:id="600" w:name="_Toc27023"/>
      <w:bookmarkStart w:id="601" w:name="_Toc26709"/>
      <w:bookmarkStart w:id="602" w:name="_Toc2236"/>
      <w:bookmarkStart w:id="603" w:name="_Toc23803"/>
      <w:bookmarkStart w:id="604" w:name="_Toc196411942"/>
      <w:r>
        <w:rPr>
          <w:rFonts w:hint="eastAsia" w:hAnsi="黑体" w:cs="宋体"/>
          <w:szCs w:val="21"/>
        </w:rPr>
        <w:t>装配要求检查</w:t>
      </w:r>
      <w:bookmarkEnd w:id="597"/>
      <w:bookmarkEnd w:id="598"/>
      <w:bookmarkEnd w:id="599"/>
      <w:bookmarkEnd w:id="600"/>
      <w:bookmarkEnd w:id="601"/>
      <w:bookmarkEnd w:id="602"/>
      <w:bookmarkEnd w:id="603"/>
      <w:bookmarkEnd w:id="604"/>
    </w:p>
    <w:p w14:paraId="4910221A">
      <w:pPr>
        <w:pStyle w:val="114"/>
        <w:numPr>
          <w:ilvl w:val="3"/>
          <w:numId w:val="38"/>
        </w:numPr>
        <w:spacing w:beforeLines="0" w:afterLines="0"/>
        <w:outlineLvl w:val="2"/>
        <w:rPr>
          <w:rFonts w:hint="eastAsia" w:ascii="宋体" w:hAnsi="宋体" w:eastAsia="宋体" w:cs="宋体"/>
          <w:color w:val="000000"/>
        </w:rPr>
      </w:pPr>
      <w:bookmarkStart w:id="605" w:name="_Toc196300198"/>
      <w:bookmarkStart w:id="606" w:name="_Toc196411943"/>
      <w:bookmarkStart w:id="607" w:name="_Toc204448608"/>
      <w:bookmarkStart w:id="608" w:name="_Toc208854214"/>
      <w:r>
        <w:rPr>
          <w:rFonts w:hint="eastAsia" w:ascii="宋体" w:hAnsi="宋体" w:eastAsia="宋体" w:cs="宋体"/>
          <w:color w:val="000000"/>
        </w:rPr>
        <w:t>按SB/T 224的规定检查成套设备装配情况。</w:t>
      </w:r>
      <w:bookmarkEnd w:id="605"/>
      <w:bookmarkEnd w:id="606"/>
      <w:bookmarkEnd w:id="607"/>
      <w:bookmarkEnd w:id="608"/>
    </w:p>
    <w:p w14:paraId="0AF91C96">
      <w:pPr>
        <w:pStyle w:val="114"/>
        <w:numPr>
          <w:ilvl w:val="3"/>
          <w:numId w:val="38"/>
        </w:numPr>
        <w:spacing w:beforeLines="0" w:afterLines="0"/>
        <w:outlineLvl w:val="2"/>
        <w:rPr>
          <w:rFonts w:hint="eastAsia" w:ascii="宋体" w:hAnsi="宋体" w:eastAsia="宋体" w:cs="宋体"/>
          <w:color w:val="000000"/>
        </w:rPr>
      </w:pPr>
      <w:bookmarkStart w:id="609" w:name="_Toc196300199"/>
      <w:bookmarkStart w:id="610" w:name="_Toc204448609"/>
      <w:bookmarkStart w:id="611" w:name="_Toc208854215"/>
      <w:bookmarkStart w:id="612" w:name="_Toc196411944"/>
      <w:r>
        <w:rPr>
          <w:rFonts w:hint="eastAsia" w:ascii="宋体" w:hAnsi="宋体" w:eastAsia="宋体" w:cs="宋体"/>
        </w:rPr>
        <w:t>目测或触摸检查成套</w:t>
      </w:r>
      <w:r>
        <w:rPr>
          <w:rFonts w:hint="eastAsia" w:ascii="宋体" w:hAnsi="宋体" w:eastAsia="宋体" w:cs="宋体"/>
          <w:color w:val="000000"/>
        </w:rPr>
        <w:t>设备零部件的连接情况。</w:t>
      </w:r>
      <w:bookmarkEnd w:id="609"/>
      <w:bookmarkEnd w:id="610"/>
      <w:bookmarkEnd w:id="611"/>
      <w:bookmarkEnd w:id="612"/>
    </w:p>
    <w:p w14:paraId="11CA5181">
      <w:pPr>
        <w:pStyle w:val="114"/>
        <w:numPr>
          <w:ilvl w:val="3"/>
          <w:numId w:val="38"/>
        </w:numPr>
        <w:spacing w:beforeLines="0" w:afterLines="0"/>
        <w:outlineLvl w:val="2"/>
        <w:rPr>
          <w:rFonts w:hint="eastAsia" w:ascii="宋体" w:hAnsi="宋体" w:eastAsia="宋体" w:cs="宋体"/>
          <w:color w:val="0070C0"/>
          <w:szCs w:val="24"/>
        </w:rPr>
      </w:pPr>
      <w:bookmarkStart w:id="613" w:name="_Toc204448610"/>
      <w:bookmarkStart w:id="614" w:name="_Toc208854216"/>
      <w:bookmarkStart w:id="615" w:name="_Toc196300200"/>
      <w:bookmarkStart w:id="616" w:name="_Toc196411945"/>
      <w:r>
        <w:rPr>
          <w:rFonts w:hint="eastAsia" w:ascii="宋体" w:hAnsi="宋体" w:eastAsia="宋体" w:cs="宋体"/>
        </w:rPr>
        <w:t>目测或触摸检查成套设备的管线及各管件的连接情况。</w:t>
      </w:r>
      <w:bookmarkEnd w:id="613"/>
      <w:bookmarkEnd w:id="614"/>
    </w:p>
    <w:p w14:paraId="19A57F62">
      <w:pPr>
        <w:pStyle w:val="114"/>
        <w:numPr>
          <w:ilvl w:val="3"/>
          <w:numId w:val="38"/>
        </w:numPr>
        <w:spacing w:beforeLines="0" w:afterLines="0"/>
        <w:outlineLvl w:val="2"/>
        <w:rPr>
          <w:rFonts w:hint="eastAsia" w:ascii="宋体" w:hAnsi="宋体" w:eastAsia="宋体" w:cs="宋体"/>
        </w:rPr>
      </w:pPr>
      <w:bookmarkStart w:id="617" w:name="_Toc204448611"/>
      <w:bookmarkStart w:id="618" w:name="_Toc208854217"/>
      <w:r>
        <w:rPr>
          <w:rFonts w:hint="eastAsia" w:ascii="宋体" w:hAnsi="宋体" w:eastAsia="宋体" w:cs="宋体"/>
          <w:color w:val="000000"/>
        </w:rPr>
        <w:t>目测或触摸检查成套设备的外观质量。</w:t>
      </w:r>
      <w:bookmarkEnd w:id="615"/>
      <w:bookmarkEnd w:id="616"/>
      <w:bookmarkEnd w:id="617"/>
      <w:bookmarkEnd w:id="618"/>
    </w:p>
    <w:p w14:paraId="7D148AF2">
      <w:pPr>
        <w:pStyle w:val="114"/>
        <w:numPr>
          <w:ilvl w:val="2"/>
          <w:numId w:val="38"/>
        </w:numPr>
        <w:spacing w:before="120" w:after="120"/>
        <w:rPr>
          <w:rFonts w:hint="eastAsia" w:hAnsi="黑体" w:cs="宋体"/>
          <w:szCs w:val="21"/>
        </w:rPr>
      </w:pPr>
      <w:bookmarkStart w:id="619" w:name="_Toc196411946"/>
      <w:bookmarkStart w:id="620" w:name="_Toc10007"/>
      <w:bookmarkStart w:id="621" w:name="_Toc13001"/>
      <w:bookmarkStart w:id="622" w:name="_Toc5982"/>
      <w:bookmarkStart w:id="623" w:name="_Toc17482"/>
      <w:bookmarkStart w:id="624" w:name="_Toc208854218"/>
      <w:bookmarkStart w:id="625" w:name="_Toc22416"/>
      <w:bookmarkStart w:id="626" w:name="_Toc17653"/>
      <w:r>
        <w:rPr>
          <w:rFonts w:hint="eastAsia" w:hAnsi="黑体" w:cs="宋体"/>
          <w:szCs w:val="21"/>
        </w:rPr>
        <w:t>安装要求检查</w:t>
      </w:r>
      <w:bookmarkEnd w:id="619"/>
      <w:bookmarkEnd w:id="620"/>
      <w:bookmarkEnd w:id="621"/>
      <w:bookmarkEnd w:id="622"/>
      <w:bookmarkEnd w:id="623"/>
      <w:bookmarkEnd w:id="624"/>
      <w:bookmarkEnd w:id="625"/>
      <w:bookmarkEnd w:id="626"/>
    </w:p>
    <w:p w14:paraId="18235689">
      <w:pPr>
        <w:pStyle w:val="114"/>
        <w:numPr>
          <w:ilvl w:val="3"/>
          <w:numId w:val="38"/>
        </w:numPr>
        <w:spacing w:beforeLines="0" w:afterLines="0"/>
        <w:outlineLvl w:val="2"/>
        <w:rPr>
          <w:rFonts w:hint="eastAsia" w:ascii="宋体" w:hAnsi="宋体" w:eastAsia="宋体" w:cs="宋体"/>
        </w:rPr>
      </w:pPr>
      <w:bookmarkStart w:id="627" w:name="_Toc204448613"/>
      <w:bookmarkStart w:id="628" w:name="_Toc208854219"/>
      <w:bookmarkStart w:id="629" w:name="_Toc196300202"/>
      <w:bookmarkStart w:id="630" w:name="_Toc196411947"/>
      <w:r>
        <w:rPr>
          <w:rFonts w:hint="eastAsia" w:ascii="宋体" w:hAnsi="宋体" w:eastAsia="宋体" w:cs="宋体"/>
        </w:rPr>
        <w:t>按GB/T 7932的规定检查成套设备气动系统。</w:t>
      </w:r>
      <w:bookmarkEnd w:id="627"/>
      <w:bookmarkEnd w:id="628"/>
    </w:p>
    <w:p w14:paraId="1EBB798C">
      <w:pPr>
        <w:pStyle w:val="114"/>
        <w:numPr>
          <w:ilvl w:val="3"/>
          <w:numId w:val="38"/>
        </w:numPr>
        <w:spacing w:beforeLines="0" w:afterLines="0"/>
        <w:outlineLvl w:val="2"/>
        <w:rPr>
          <w:rFonts w:hint="eastAsia" w:ascii="宋体" w:hAnsi="宋体" w:eastAsia="宋体" w:cs="宋体"/>
        </w:rPr>
      </w:pPr>
      <w:bookmarkStart w:id="631" w:name="_Toc204448614"/>
      <w:bookmarkStart w:id="632" w:name="_Toc208854220"/>
      <w:r>
        <w:rPr>
          <w:rFonts w:hint="eastAsia" w:ascii="宋体" w:hAnsi="宋体" w:eastAsia="宋体" w:cs="宋体"/>
        </w:rPr>
        <w:t>按GB/T 20801.5的规定检查成套设备水汽管路各管件的连接情况。</w:t>
      </w:r>
      <w:bookmarkEnd w:id="631"/>
      <w:bookmarkEnd w:id="632"/>
    </w:p>
    <w:p w14:paraId="1932B70B">
      <w:pPr>
        <w:pStyle w:val="114"/>
        <w:numPr>
          <w:ilvl w:val="3"/>
          <w:numId w:val="38"/>
        </w:numPr>
        <w:spacing w:beforeLines="0" w:afterLines="0"/>
        <w:outlineLvl w:val="2"/>
        <w:rPr>
          <w:rFonts w:hint="eastAsia" w:ascii="宋体" w:hAnsi="宋体" w:eastAsia="宋体" w:cs="宋体"/>
        </w:rPr>
      </w:pPr>
      <w:bookmarkStart w:id="633" w:name="_Toc208854221"/>
      <w:bookmarkStart w:id="634" w:name="_Toc204448615"/>
      <w:r>
        <w:rPr>
          <w:rFonts w:hint="eastAsia" w:ascii="宋体" w:hAnsi="宋体" w:eastAsia="宋体" w:cs="宋体"/>
        </w:rPr>
        <w:t>目测检查各设备之间的衔接。</w:t>
      </w:r>
      <w:bookmarkEnd w:id="633"/>
      <w:bookmarkEnd w:id="634"/>
    </w:p>
    <w:bookmarkEnd w:id="629"/>
    <w:bookmarkEnd w:id="630"/>
    <w:p w14:paraId="49A4E9E7">
      <w:pPr>
        <w:pStyle w:val="114"/>
        <w:numPr>
          <w:ilvl w:val="2"/>
          <w:numId w:val="38"/>
        </w:numPr>
        <w:spacing w:before="120" w:after="120"/>
        <w:rPr>
          <w:rFonts w:hint="eastAsia" w:hAnsi="黑体" w:cs="宋体"/>
          <w:szCs w:val="21"/>
        </w:rPr>
      </w:pPr>
      <w:bookmarkStart w:id="635" w:name="_Toc22418"/>
      <w:bookmarkStart w:id="636" w:name="_Toc196411950"/>
      <w:bookmarkStart w:id="637" w:name="_Toc26410"/>
      <w:bookmarkStart w:id="638" w:name="_Toc10279"/>
      <w:bookmarkStart w:id="639" w:name="_Toc24534"/>
      <w:bookmarkStart w:id="640" w:name="_Toc208854222"/>
      <w:bookmarkStart w:id="641" w:name="_Toc5867"/>
      <w:bookmarkStart w:id="642" w:name="_Toc219"/>
      <w:r>
        <w:rPr>
          <w:rFonts w:hint="eastAsia" w:hAnsi="黑体" w:cs="宋体"/>
          <w:szCs w:val="21"/>
        </w:rPr>
        <w:t>卫生安全要求检查</w:t>
      </w:r>
      <w:bookmarkEnd w:id="635"/>
      <w:bookmarkEnd w:id="636"/>
      <w:bookmarkEnd w:id="637"/>
      <w:bookmarkEnd w:id="638"/>
      <w:bookmarkEnd w:id="639"/>
      <w:bookmarkEnd w:id="640"/>
      <w:bookmarkEnd w:id="641"/>
      <w:bookmarkEnd w:id="642"/>
    </w:p>
    <w:p w14:paraId="56AE12A4">
      <w:pPr>
        <w:pStyle w:val="114"/>
        <w:numPr>
          <w:ilvl w:val="3"/>
          <w:numId w:val="38"/>
        </w:numPr>
        <w:spacing w:beforeLines="0" w:afterLines="0"/>
        <w:outlineLvl w:val="2"/>
        <w:rPr>
          <w:rFonts w:hint="eastAsia" w:ascii="宋体" w:hAnsi="宋体" w:eastAsia="宋体" w:cs="宋体"/>
          <w:color w:val="000000"/>
        </w:rPr>
      </w:pPr>
      <w:bookmarkStart w:id="643" w:name="_Toc28480"/>
      <w:bookmarkStart w:id="644" w:name="_Toc14519"/>
      <w:bookmarkStart w:id="645" w:name="_Toc196300206"/>
      <w:bookmarkStart w:id="646" w:name="_Toc204448617"/>
      <w:bookmarkStart w:id="647" w:name="_Toc196411951"/>
      <w:bookmarkStart w:id="648" w:name="_Toc208854223"/>
      <w:bookmarkStart w:id="649" w:name="_Toc9295"/>
      <w:bookmarkStart w:id="650" w:name="_Toc1045"/>
      <w:bookmarkStart w:id="651" w:name="_Toc5410"/>
      <w:bookmarkStart w:id="652" w:name="_Toc19198"/>
      <w:r>
        <w:rPr>
          <w:rFonts w:hint="eastAsia" w:ascii="宋体" w:hAnsi="宋体" w:eastAsia="宋体" w:cs="宋体"/>
        </w:rPr>
        <w:t>按GB 16798、GB/T 19891及GB 4806.1的规定</w:t>
      </w:r>
      <w:r>
        <w:rPr>
          <w:rFonts w:hint="eastAsia" w:ascii="宋体" w:hAnsi="宋体" w:eastAsia="宋体" w:cs="宋体"/>
          <w:color w:val="000000"/>
        </w:rPr>
        <w:t>检查成套设备机械结构的卫生情况。</w:t>
      </w:r>
      <w:bookmarkEnd w:id="643"/>
      <w:bookmarkEnd w:id="644"/>
      <w:bookmarkEnd w:id="645"/>
      <w:bookmarkEnd w:id="646"/>
      <w:bookmarkEnd w:id="647"/>
      <w:bookmarkEnd w:id="648"/>
    </w:p>
    <w:bookmarkEnd w:id="649"/>
    <w:p w14:paraId="6F0E019B">
      <w:pPr>
        <w:pStyle w:val="114"/>
        <w:numPr>
          <w:ilvl w:val="3"/>
          <w:numId w:val="38"/>
        </w:numPr>
        <w:spacing w:beforeLines="0" w:afterLines="0"/>
        <w:outlineLvl w:val="2"/>
        <w:rPr>
          <w:rFonts w:hint="eastAsia" w:ascii="宋体" w:hAnsi="宋体" w:eastAsia="宋体" w:cs="宋体"/>
          <w:color w:val="000000"/>
        </w:rPr>
      </w:pPr>
      <w:bookmarkStart w:id="653" w:name="_Toc208854224"/>
      <w:bookmarkStart w:id="654" w:name="_Toc28087"/>
      <w:bookmarkStart w:id="655" w:name="_Toc204448618"/>
      <w:bookmarkStart w:id="656" w:name="_Toc196411952"/>
      <w:bookmarkStart w:id="657" w:name="_Toc196300207"/>
      <w:bookmarkStart w:id="658" w:name="_Toc13346"/>
      <w:r>
        <w:rPr>
          <w:rFonts w:hint="eastAsia" w:ascii="宋体" w:hAnsi="宋体" w:eastAsia="宋体" w:cs="宋体"/>
          <w:color w:val="000000"/>
        </w:rPr>
        <w:t>目测或触摸检查设备润滑部位的渗（漏）油现象。</w:t>
      </w:r>
      <w:bookmarkEnd w:id="653"/>
      <w:bookmarkEnd w:id="654"/>
      <w:bookmarkEnd w:id="655"/>
      <w:bookmarkEnd w:id="656"/>
      <w:bookmarkEnd w:id="657"/>
      <w:bookmarkEnd w:id="658"/>
    </w:p>
    <w:p w14:paraId="076083F5">
      <w:pPr>
        <w:pStyle w:val="114"/>
        <w:numPr>
          <w:ilvl w:val="3"/>
          <w:numId w:val="38"/>
        </w:numPr>
        <w:spacing w:beforeLines="0" w:afterLines="0"/>
        <w:outlineLvl w:val="2"/>
      </w:pPr>
      <w:bookmarkStart w:id="659" w:name="_Toc208854225"/>
      <w:r>
        <w:rPr>
          <w:rFonts w:hint="eastAsia" w:ascii="宋体" w:hAnsi="宋体" w:eastAsia="宋体" w:cs="宋体"/>
          <w:color w:val="000000"/>
        </w:rPr>
        <w:t>按GB 4806.10的规定检查成套设备的涂层部位。</w:t>
      </w:r>
      <w:bookmarkEnd w:id="659"/>
    </w:p>
    <w:p w14:paraId="1CB3102B">
      <w:pPr>
        <w:pStyle w:val="114"/>
        <w:numPr>
          <w:ilvl w:val="3"/>
          <w:numId w:val="38"/>
        </w:numPr>
        <w:spacing w:beforeLines="0" w:afterLines="0"/>
        <w:outlineLvl w:val="2"/>
        <w:rPr>
          <w:rFonts w:hint="eastAsia" w:ascii="宋体" w:hAnsi="宋体" w:eastAsia="宋体" w:cs="宋体"/>
          <w:color w:val="000000"/>
        </w:rPr>
      </w:pPr>
      <w:bookmarkStart w:id="660" w:name="_Toc204448619"/>
      <w:bookmarkStart w:id="661" w:name="_Toc208854226"/>
      <w:bookmarkStart w:id="662" w:name="_Toc196300208"/>
      <w:bookmarkStart w:id="663" w:name="_Toc11217"/>
      <w:bookmarkStart w:id="664" w:name="_Toc26876"/>
      <w:bookmarkStart w:id="665" w:name="_Toc196411953"/>
      <w:r>
        <w:rPr>
          <w:rFonts w:hint="eastAsia" w:ascii="宋体" w:hAnsi="宋体" w:eastAsia="宋体" w:cs="宋体"/>
          <w:color w:val="000000"/>
        </w:rPr>
        <w:t>目测或触摸检查成套设备表面质量。</w:t>
      </w:r>
      <w:bookmarkEnd w:id="660"/>
      <w:bookmarkEnd w:id="661"/>
      <w:bookmarkEnd w:id="662"/>
      <w:bookmarkEnd w:id="663"/>
      <w:bookmarkEnd w:id="664"/>
      <w:bookmarkEnd w:id="665"/>
    </w:p>
    <w:bookmarkEnd w:id="650"/>
    <w:bookmarkEnd w:id="651"/>
    <w:bookmarkEnd w:id="652"/>
    <w:p w14:paraId="1C800403">
      <w:pPr>
        <w:pStyle w:val="114"/>
        <w:numPr>
          <w:ilvl w:val="2"/>
          <w:numId w:val="38"/>
        </w:numPr>
        <w:spacing w:before="120" w:after="120"/>
        <w:rPr>
          <w:rFonts w:hint="eastAsia" w:hAnsi="黑体" w:cs="宋体"/>
          <w:szCs w:val="21"/>
        </w:rPr>
      </w:pPr>
      <w:bookmarkStart w:id="666" w:name="_Toc31594"/>
      <w:bookmarkStart w:id="667" w:name="_Toc28101"/>
      <w:bookmarkStart w:id="668" w:name="_Toc3585"/>
      <w:bookmarkStart w:id="669" w:name="_Toc26763"/>
      <w:bookmarkStart w:id="670" w:name="_Toc8115"/>
      <w:bookmarkStart w:id="671" w:name="_Toc196411954"/>
      <w:bookmarkStart w:id="672" w:name="_Toc208854227"/>
      <w:bookmarkStart w:id="673" w:name="_Toc20769"/>
      <w:r>
        <w:rPr>
          <w:rFonts w:hint="eastAsia" w:hAnsi="黑体" w:cs="宋体"/>
          <w:szCs w:val="21"/>
        </w:rPr>
        <w:t>机械安全要求检查</w:t>
      </w:r>
      <w:bookmarkEnd w:id="666"/>
      <w:bookmarkEnd w:id="667"/>
      <w:bookmarkEnd w:id="668"/>
      <w:bookmarkEnd w:id="669"/>
      <w:bookmarkEnd w:id="670"/>
      <w:bookmarkEnd w:id="671"/>
      <w:bookmarkEnd w:id="672"/>
      <w:bookmarkEnd w:id="673"/>
    </w:p>
    <w:p w14:paraId="76269804">
      <w:pPr>
        <w:pStyle w:val="114"/>
        <w:numPr>
          <w:ilvl w:val="3"/>
          <w:numId w:val="38"/>
        </w:numPr>
        <w:spacing w:beforeLines="0" w:afterLines="0"/>
        <w:outlineLvl w:val="2"/>
        <w:rPr>
          <w:rFonts w:hint="eastAsia" w:ascii="宋体" w:hAnsi="宋体" w:eastAsia="宋体" w:cs="宋体"/>
        </w:rPr>
      </w:pPr>
      <w:bookmarkStart w:id="674" w:name="_Toc204448621"/>
      <w:bookmarkStart w:id="675" w:name="_Toc196300210"/>
      <w:bookmarkStart w:id="676" w:name="_Toc196411955"/>
      <w:bookmarkStart w:id="677" w:name="_Toc208854228"/>
      <w:bookmarkStart w:id="678" w:name="_Toc26470"/>
      <w:bookmarkStart w:id="679" w:name="_Toc24866"/>
      <w:r>
        <w:rPr>
          <w:rFonts w:hint="eastAsia" w:ascii="宋体" w:hAnsi="宋体" w:eastAsia="宋体" w:cs="宋体"/>
        </w:rPr>
        <w:t>按GB/T 15706的规定对成套设备进行风险评估。</w:t>
      </w:r>
      <w:bookmarkEnd w:id="674"/>
      <w:bookmarkEnd w:id="675"/>
      <w:bookmarkEnd w:id="676"/>
      <w:bookmarkEnd w:id="677"/>
    </w:p>
    <w:p w14:paraId="41A2C2BF">
      <w:pPr>
        <w:pStyle w:val="114"/>
        <w:numPr>
          <w:ilvl w:val="3"/>
          <w:numId w:val="38"/>
        </w:numPr>
        <w:spacing w:beforeLines="0" w:afterLines="0"/>
        <w:outlineLvl w:val="2"/>
        <w:rPr>
          <w:rFonts w:hint="eastAsia" w:ascii="宋体" w:hAnsi="宋体" w:eastAsia="宋体" w:cs="宋体"/>
        </w:rPr>
      </w:pPr>
      <w:bookmarkStart w:id="680" w:name="_Toc208854229"/>
      <w:bookmarkStart w:id="681" w:name="_Toc204448622"/>
      <w:r>
        <w:rPr>
          <w:rFonts w:hint="eastAsia" w:ascii="宋体" w:hAnsi="宋体" w:eastAsia="宋体" w:cs="宋体"/>
        </w:rPr>
        <w:t>按GB/T 8196的规定检查成套设备的防护装置。</w:t>
      </w:r>
      <w:bookmarkEnd w:id="680"/>
      <w:bookmarkEnd w:id="681"/>
    </w:p>
    <w:p w14:paraId="1C15E571">
      <w:pPr>
        <w:pStyle w:val="114"/>
        <w:numPr>
          <w:ilvl w:val="3"/>
          <w:numId w:val="38"/>
        </w:numPr>
        <w:spacing w:beforeLines="0" w:afterLines="0"/>
        <w:outlineLvl w:val="2"/>
        <w:rPr>
          <w:rFonts w:hint="eastAsia" w:ascii="宋体" w:hAnsi="宋体" w:eastAsia="宋体" w:cs="宋体"/>
        </w:rPr>
      </w:pPr>
      <w:bookmarkStart w:id="682" w:name="_Toc208854230"/>
      <w:bookmarkStart w:id="683" w:name="_Toc204448623"/>
      <w:bookmarkStart w:id="684" w:name="_Toc196411956"/>
      <w:bookmarkStart w:id="685" w:name="_Toc196300211"/>
      <w:r>
        <w:rPr>
          <w:rFonts w:hint="eastAsia" w:ascii="宋体" w:hAnsi="宋体" w:eastAsia="宋体" w:cs="宋体"/>
        </w:rPr>
        <w:t>目测或触摸检查成套设备外表面质量。</w:t>
      </w:r>
      <w:bookmarkEnd w:id="682"/>
      <w:bookmarkEnd w:id="683"/>
    </w:p>
    <w:p w14:paraId="0F0FE18B">
      <w:pPr>
        <w:pStyle w:val="114"/>
        <w:numPr>
          <w:ilvl w:val="3"/>
          <w:numId w:val="38"/>
        </w:numPr>
        <w:spacing w:beforeLines="0" w:afterLines="0"/>
        <w:outlineLvl w:val="2"/>
        <w:rPr>
          <w:rFonts w:hint="eastAsia" w:ascii="宋体" w:hAnsi="宋体" w:eastAsia="宋体" w:cs="宋体"/>
        </w:rPr>
      </w:pPr>
      <w:bookmarkStart w:id="686" w:name="_Toc208854231"/>
      <w:bookmarkStart w:id="687" w:name="_Toc204448624"/>
      <w:r>
        <w:rPr>
          <w:rFonts w:hint="eastAsia" w:ascii="宋体" w:hAnsi="宋体" w:eastAsia="宋体" w:cs="宋体"/>
        </w:rPr>
        <w:t>按GB 2894的规定检查成套设备的安全警示标志。</w:t>
      </w:r>
      <w:bookmarkEnd w:id="686"/>
      <w:bookmarkEnd w:id="687"/>
    </w:p>
    <w:p w14:paraId="6F4C3B87">
      <w:pPr>
        <w:pStyle w:val="114"/>
        <w:numPr>
          <w:ilvl w:val="3"/>
          <w:numId w:val="38"/>
        </w:numPr>
        <w:spacing w:beforeLines="0" w:afterLines="0"/>
        <w:outlineLvl w:val="2"/>
        <w:rPr>
          <w:rFonts w:hint="eastAsia" w:ascii="宋体" w:hAnsi="宋体" w:eastAsia="宋体" w:cs="宋体"/>
        </w:rPr>
      </w:pPr>
      <w:bookmarkStart w:id="688" w:name="_Toc204448625"/>
      <w:bookmarkStart w:id="689" w:name="_Toc208854232"/>
      <w:r>
        <w:rPr>
          <w:rFonts w:hint="eastAsia" w:ascii="宋体" w:hAnsi="宋体" w:eastAsia="宋体" w:cs="宋体"/>
        </w:rPr>
        <w:t>目测和触摸检查成套设备的联接情况。</w:t>
      </w:r>
      <w:bookmarkEnd w:id="678"/>
      <w:bookmarkEnd w:id="679"/>
      <w:bookmarkEnd w:id="684"/>
      <w:bookmarkEnd w:id="685"/>
      <w:bookmarkEnd w:id="688"/>
      <w:bookmarkEnd w:id="689"/>
    </w:p>
    <w:p w14:paraId="5A94A66C">
      <w:pPr>
        <w:pStyle w:val="114"/>
        <w:numPr>
          <w:ilvl w:val="3"/>
          <w:numId w:val="38"/>
        </w:numPr>
        <w:spacing w:beforeLines="0" w:afterLines="0"/>
        <w:outlineLvl w:val="2"/>
        <w:rPr>
          <w:rFonts w:hint="eastAsia" w:ascii="宋体" w:hAnsi="宋体" w:eastAsia="宋体" w:cs="宋体"/>
        </w:rPr>
      </w:pPr>
      <w:bookmarkStart w:id="690" w:name="_Toc204448626"/>
      <w:bookmarkStart w:id="691" w:name="_Toc208854233"/>
      <w:r>
        <w:rPr>
          <w:rFonts w:hint="eastAsia" w:ascii="宋体" w:hAnsi="宋体" w:eastAsia="宋体" w:cs="宋体"/>
        </w:rPr>
        <w:t>用精度不低于±</w:t>
      </w:r>
      <w:r>
        <w:rPr>
          <w:rFonts w:ascii="宋体" w:hAnsi="宋体" w:eastAsia="宋体" w:cs="宋体"/>
        </w:rPr>
        <w:t xml:space="preserve">1 </w:t>
      </w:r>
      <w:r>
        <w:rPr>
          <w:rFonts w:hint="eastAsia" w:ascii="宋体" w:hAnsi="宋体" w:eastAsia="宋体" w:cs="宋体"/>
        </w:rPr>
        <w:t>℃的测温仪器分别测量环境温度、轴承座或端盖温度，并计算轴承温升。</w:t>
      </w:r>
      <w:bookmarkEnd w:id="690"/>
      <w:bookmarkEnd w:id="691"/>
    </w:p>
    <w:p w14:paraId="13C16B28">
      <w:pPr>
        <w:pStyle w:val="114"/>
        <w:numPr>
          <w:ilvl w:val="2"/>
          <w:numId w:val="38"/>
        </w:numPr>
        <w:spacing w:before="120" w:after="120"/>
        <w:rPr>
          <w:rFonts w:hint="eastAsia" w:hAnsi="黑体" w:cs="宋体"/>
          <w:szCs w:val="21"/>
        </w:rPr>
      </w:pPr>
      <w:bookmarkStart w:id="692" w:name="_Toc4086"/>
      <w:bookmarkStart w:id="693" w:name="_Toc13309"/>
      <w:bookmarkStart w:id="694" w:name="_Toc196411962"/>
      <w:bookmarkStart w:id="695" w:name="_Toc11618"/>
      <w:bookmarkStart w:id="696" w:name="_Toc8658"/>
      <w:bookmarkStart w:id="697" w:name="_Toc208854234"/>
      <w:bookmarkStart w:id="698" w:name="_Toc11681"/>
      <w:bookmarkStart w:id="699" w:name="_Toc28996"/>
      <w:r>
        <w:rPr>
          <w:rFonts w:hint="eastAsia" w:hAnsi="黑体" w:cs="宋体"/>
          <w:szCs w:val="21"/>
        </w:rPr>
        <w:t>电气安全要求检查</w:t>
      </w:r>
      <w:bookmarkEnd w:id="692"/>
      <w:bookmarkEnd w:id="693"/>
      <w:bookmarkEnd w:id="694"/>
      <w:bookmarkEnd w:id="695"/>
      <w:bookmarkEnd w:id="696"/>
      <w:bookmarkEnd w:id="697"/>
      <w:bookmarkEnd w:id="698"/>
      <w:bookmarkEnd w:id="699"/>
    </w:p>
    <w:p w14:paraId="7E38A2E9">
      <w:pPr>
        <w:pStyle w:val="114"/>
        <w:numPr>
          <w:ilvl w:val="3"/>
          <w:numId w:val="38"/>
        </w:numPr>
        <w:spacing w:beforeLines="0" w:afterLines="0"/>
        <w:outlineLvl w:val="2"/>
        <w:rPr>
          <w:rFonts w:hint="eastAsia" w:ascii="宋体" w:hAnsi="宋体" w:eastAsia="宋体" w:cs="宋体"/>
        </w:rPr>
      </w:pPr>
      <w:bookmarkStart w:id="700" w:name="_Toc208854235"/>
      <w:bookmarkStart w:id="701" w:name="_Toc204448628"/>
      <w:bookmarkStart w:id="702" w:name="_Toc196300218"/>
      <w:bookmarkStart w:id="703" w:name="_Toc196411963"/>
      <w:r>
        <w:rPr>
          <w:rFonts w:hint="eastAsia" w:ascii="宋体" w:hAnsi="宋体" w:eastAsia="宋体" w:cs="宋体"/>
        </w:rPr>
        <w:t>按GB/T 5226.1的规定检查成套设备的电气安全，进行电阻试验和耐压试验。</w:t>
      </w:r>
      <w:bookmarkEnd w:id="700"/>
      <w:bookmarkEnd w:id="701"/>
    </w:p>
    <w:p w14:paraId="5DCECC7D">
      <w:pPr>
        <w:pStyle w:val="114"/>
        <w:numPr>
          <w:ilvl w:val="3"/>
          <w:numId w:val="38"/>
        </w:numPr>
        <w:spacing w:beforeLines="0" w:afterLines="0"/>
        <w:outlineLvl w:val="2"/>
        <w:rPr>
          <w:rFonts w:hint="eastAsia" w:ascii="宋体" w:hAnsi="宋体" w:eastAsia="宋体" w:cs="宋体"/>
        </w:rPr>
      </w:pPr>
      <w:bookmarkStart w:id="704" w:name="_Toc208854236"/>
      <w:bookmarkStart w:id="705" w:name="_Toc204448629"/>
      <w:r>
        <w:rPr>
          <w:rFonts w:hint="eastAsia" w:ascii="宋体" w:hAnsi="宋体" w:eastAsia="宋体" w:cs="宋体"/>
        </w:rPr>
        <w:t>目测检查导线保护情况及电气控制系统。</w:t>
      </w:r>
      <w:bookmarkEnd w:id="704"/>
      <w:bookmarkEnd w:id="705"/>
    </w:p>
    <w:p w14:paraId="6187BD63">
      <w:pPr>
        <w:pStyle w:val="114"/>
        <w:numPr>
          <w:ilvl w:val="3"/>
          <w:numId w:val="38"/>
        </w:numPr>
        <w:spacing w:beforeLines="0" w:afterLines="0"/>
        <w:outlineLvl w:val="2"/>
        <w:rPr>
          <w:rFonts w:hint="eastAsia" w:ascii="宋体" w:hAnsi="宋体" w:eastAsia="宋体" w:cs="宋体"/>
        </w:rPr>
      </w:pPr>
      <w:bookmarkStart w:id="706" w:name="_Toc204448630"/>
      <w:bookmarkStart w:id="707" w:name="_Toc208854237"/>
      <w:r>
        <w:rPr>
          <w:rFonts w:hint="eastAsia" w:ascii="宋体" w:hAnsi="宋体" w:eastAsia="宋体" w:cs="宋体"/>
        </w:rPr>
        <w:t>按GB 4706.1的规定检测成套设备的接地电阻。</w:t>
      </w:r>
      <w:bookmarkEnd w:id="706"/>
      <w:bookmarkEnd w:id="707"/>
    </w:p>
    <w:p w14:paraId="2F7960F9">
      <w:pPr>
        <w:pStyle w:val="114"/>
        <w:numPr>
          <w:ilvl w:val="3"/>
          <w:numId w:val="38"/>
        </w:numPr>
        <w:spacing w:beforeLines="0" w:afterLines="0"/>
        <w:outlineLvl w:val="2"/>
        <w:rPr>
          <w:rFonts w:hint="eastAsia" w:ascii="宋体" w:hAnsi="宋体" w:eastAsia="宋体" w:cs="宋体"/>
        </w:rPr>
      </w:pPr>
      <w:bookmarkStart w:id="708" w:name="_Toc208854238"/>
      <w:bookmarkStart w:id="709" w:name="_Toc204448631"/>
      <w:r>
        <w:rPr>
          <w:rFonts w:hint="eastAsia" w:ascii="宋体" w:hAnsi="宋体" w:eastAsia="宋体" w:cs="宋体"/>
        </w:rPr>
        <w:t>按GB/T 5226.1的规定检测成套设备的绝缘电阻。</w:t>
      </w:r>
      <w:bookmarkEnd w:id="708"/>
      <w:bookmarkEnd w:id="709"/>
    </w:p>
    <w:p w14:paraId="5E89FA69">
      <w:pPr>
        <w:pStyle w:val="114"/>
        <w:numPr>
          <w:ilvl w:val="3"/>
          <w:numId w:val="38"/>
        </w:numPr>
        <w:spacing w:beforeLines="0" w:afterLines="0"/>
        <w:outlineLvl w:val="2"/>
        <w:rPr>
          <w:rFonts w:hint="eastAsia" w:ascii="宋体" w:hAnsi="宋体" w:eastAsia="宋体" w:cs="宋体"/>
        </w:rPr>
      </w:pPr>
      <w:bookmarkStart w:id="710" w:name="_Toc208854239"/>
      <w:bookmarkStart w:id="711" w:name="_Toc204448632"/>
      <w:r>
        <w:rPr>
          <w:rFonts w:hint="eastAsia" w:ascii="宋体" w:hAnsi="宋体" w:eastAsia="宋体" w:cs="宋体"/>
        </w:rPr>
        <w:t>按GB/T 5226.1的规定进行耐压试验。</w:t>
      </w:r>
      <w:bookmarkEnd w:id="710"/>
      <w:bookmarkEnd w:id="711"/>
    </w:p>
    <w:p w14:paraId="6E5872B2">
      <w:pPr>
        <w:pStyle w:val="114"/>
        <w:numPr>
          <w:ilvl w:val="3"/>
          <w:numId w:val="38"/>
        </w:numPr>
        <w:spacing w:beforeLines="0" w:afterLines="0"/>
        <w:outlineLvl w:val="2"/>
        <w:rPr>
          <w:rFonts w:hint="eastAsia" w:ascii="宋体" w:hAnsi="宋体" w:eastAsia="宋体" w:cs="宋体"/>
        </w:rPr>
      </w:pPr>
      <w:bookmarkStart w:id="712" w:name="_Toc204448633"/>
      <w:bookmarkStart w:id="713" w:name="_Toc208854240"/>
      <w:r>
        <w:rPr>
          <w:rFonts w:hint="eastAsia" w:ascii="宋体" w:hAnsi="宋体" w:eastAsia="宋体" w:cs="宋体"/>
        </w:rPr>
        <w:t>按GB/T 4208的规定检查成套设备的防护装置及防护等级</w:t>
      </w:r>
      <w:bookmarkEnd w:id="702"/>
      <w:bookmarkEnd w:id="703"/>
      <w:bookmarkStart w:id="714" w:name="_Toc196411966"/>
      <w:bookmarkStart w:id="715" w:name="_Toc196300221"/>
      <w:r>
        <w:rPr>
          <w:rFonts w:hint="eastAsia" w:ascii="宋体" w:hAnsi="宋体" w:eastAsia="宋体" w:cs="宋体"/>
          <w:szCs w:val="21"/>
        </w:rPr>
        <w:t>。</w:t>
      </w:r>
      <w:bookmarkEnd w:id="712"/>
      <w:bookmarkEnd w:id="713"/>
      <w:bookmarkEnd w:id="714"/>
      <w:bookmarkEnd w:id="715"/>
    </w:p>
    <w:p w14:paraId="52350DB9">
      <w:pPr>
        <w:pStyle w:val="114"/>
        <w:numPr>
          <w:ilvl w:val="2"/>
          <w:numId w:val="38"/>
        </w:numPr>
        <w:spacing w:before="120" w:after="120"/>
        <w:rPr>
          <w:rFonts w:hint="eastAsia" w:hAnsi="黑体" w:cs="宋体"/>
          <w:szCs w:val="21"/>
        </w:rPr>
      </w:pPr>
      <w:bookmarkStart w:id="716" w:name="_Toc15129"/>
      <w:bookmarkStart w:id="717" w:name="_Toc208854241"/>
      <w:bookmarkStart w:id="718" w:name="_Toc196411967"/>
      <w:bookmarkStart w:id="719" w:name="_Toc21094"/>
      <w:bookmarkStart w:id="720" w:name="_Toc14213"/>
      <w:bookmarkStart w:id="721" w:name="_Toc13016"/>
      <w:bookmarkStart w:id="722" w:name="_Toc4642"/>
      <w:bookmarkStart w:id="723" w:name="_Toc25324"/>
      <w:r>
        <w:rPr>
          <w:rFonts w:hint="eastAsia" w:hAnsi="黑体" w:cs="宋体"/>
          <w:szCs w:val="21"/>
        </w:rPr>
        <w:t>成（配）套性检查</w:t>
      </w:r>
      <w:bookmarkEnd w:id="716"/>
      <w:bookmarkEnd w:id="717"/>
      <w:bookmarkEnd w:id="718"/>
      <w:bookmarkEnd w:id="719"/>
      <w:bookmarkEnd w:id="720"/>
      <w:bookmarkEnd w:id="721"/>
      <w:bookmarkEnd w:id="722"/>
      <w:bookmarkEnd w:id="723"/>
    </w:p>
    <w:p w14:paraId="585C642C">
      <w:pPr>
        <w:pStyle w:val="114"/>
        <w:numPr>
          <w:ilvl w:val="3"/>
          <w:numId w:val="38"/>
        </w:numPr>
        <w:spacing w:beforeLines="0" w:afterLines="0"/>
        <w:outlineLvl w:val="2"/>
        <w:rPr>
          <w:rFonts w:hint="eastAsia" w:ascii="宋体" w:hAnsi="宋体" w:eastAsia="宋体" w:cs="宋体"/>
          <w:szCs w:val="24"/>
        </w:rPr>
      </w:pPr>
      <w:bookmarkStart w:id="724" w:name="_Toc196411968"/>
      <w:bookmarkStart w:id="725" w:name="_Toc204448635"/>
      <w:bookmarkStart w:id="726" w:name="_Toc196300223"/>
      <w:bookmarkStart w:id="727" w:name="_Toc208854242"/>
      <w:r>
        <w:rPr>
          <w:rFonts w:hint="eastAsia" w:ascii="宋体" w:hAnsi="宋体" w:eastAsia="宋体" w:cs="宋体"/>
          <w:szCs w:val="24"/>
        </w:rPr>
        <w:t>计算检查成套设备中各单机的产能配套系数。</w:t>
      </w:r>
      <w:bookmarkEnd w:id="724"/>
      <w:bookmarkEnd w:id="725"/>
      <w:bookmarkEnd w:id="726"/>
      <w:bookmarkEnd w:id="727"/>
    </w:p>
    <w:p w14:paraId="6B7BD063">
      <w:pPr>
        <w:pStyle w:val="114"/>
        <w:numPr>
          <w:ilvl w:val="3"/>
          <w:numId w:val="38"/>
        </w:numPr>
        <w:spacing w:beforeLines="0" w:afterLines="0"/>
        <w:outlineLvl w:val="2"/>
        <w:rPr>
          <w:rFonts w:hint="eastAsia" w:ascii="宋体" w:hAnsi="宋体" w:eastAsia="宋体" w:cs="宋体"/>
        </w:rPr>
      </w:pPr>
      <w:bookmarkStart w:id="728" w:name="_Toc196300224"/>
      <w:bookmarkStart w:id="729" w:name="_Toc204448636"/>
      <w:bookmarkStart w:id="730" w:name="_Toc196411969"/>
      <w:bookmarkStart w:id="731" w:name="_Toc208854243"/>
      <w:r>
        <w:rPr>
          <w:rFonts w:hint="eastAsia" w:ascii="宋体" w:hAnsi="宋体" w:eastAsia="宋体" w:cs="宋体"/>
          <w:szCs w:val="24"/>
        </w:rPr>
        <w:t>检查各单机设备的技术文件。</w:t>
      </w:r>
      <w:bookmarkEnd w:id="728"/>
      <w:bookmarkEnd w:id="729"/>
      <w:bookmarkEnd w:id="730"/>
      <w:bookmarkEnd w:id="731"/>
    </w:p>
    <w:bookmarkEnd w:id="547"/>
    <w:bookmarkEnd w:id="548"/>
    <w:p w14:paraId="07F64F18">
      <w:pPr>
        <w:pStyle w:val="114"/>
        <w:numPr>
          <w:ilvl w:val="2"/>
          <w:numId w:val="38"/>
        </w:numPr>
        <w:spacing w:before="120" w:after="120"/>
        <w:rPr>
          <w:rFonts w:hint="eastAsia" w:hAnsi="黑体" w:cs="宋体"/>
          <w:szCs w:val="21"/>
        </w:rPr>
      </w:pPr>
      <w:bookmarkStart w:id="732" w:name="_Toc3810"/>
      <w:bookmarkStart w:id="733" w:name="_Toc94259975"/>
      <w:bookmarkStart w:id="734" w:name="_Toc208854244"/>
      <w:bookmarkStart w:id="735" w:name="_Toc85527778"/>
      <w:bookmarkStart w:id="736" w:name="_Toc1254"/>
      <w:bookmarkStart w:id="737" w:name="_Toc17223"/>
      <w:bookmarkStart w:id="738" w:name="_Toc25140"/>
      <w:bookmarkStart w:id="739" w:name="_Toc196411994"/>
      <w:bookmarkStart w:id="740" w:name="_Toc10386"/>
      <w:bookmarkStart w:id="741" w:name="_Toc10589"/>
      <w:bookmarkStart w:id="742" w:name="_Toc77186072"/>
      <w:bookmarkStart w:id="743" w:name="_Hlk107127672"/>
      <w:r>
        <w:rPr>
          <w:rFonts w:hint="eastAsia" w:hAnsi="黑体" w:cs="宋体"/>
          <w:szCs w:val="21"/>
        </w:rPr>
        <w:t>性能试验</w:t>
      </w:r>
      <w:bookmarkEnd w:id="732"/>
      <w:bookmarkEnd w:id="733"/>
      <w:bookmarkEnd w:id="734"/>
      <w:bookmarkEnd w:id="735"/>
      <w:bookmarkEnd w:id="736"/>
      <w:bookmarkEnd w:id="737"/>
      <w:bookmarkEnd w:id="738"/>
      <w:bookmarkEnd w:id="739"/>
      <w:bookmarkEnd w:id="740"/>
      <w:bookmarkEnd w:id="741"/>
      <w:bookmarkEnd w:id="742"/>
    </w:p>
    <w:p w14:paraId="0F44F934">
      <w:pPr>
        <w:pStyle w:val="114"/>
        <w:numPr>
          <w:ilvl w:val="3"/>
          <w:numId w:val="38"/>
        </w:numPr>
        <w:spacing w:before="120" w:after="120"/>
        <w:outlineLvl w:val="2"/>
      </w:pPr>
      <w:bookmarkStart w:id="744" w:name="_Toc196411995"/>
      <w:bookmarkStart w:id="745" w:name="_Toc3151"/>
      <w:bookmarkStart w:id="746" w:name="_Toc204448638"/>
      <w:bookmarkStart w:id="747" w:name="_Toc18298"/>
      <w:bookmarkStart w:id="748" w:name="_Toc208854245"/>
      <w:bookmarkStart w:id="749" w:name="_Toc27628"/>
      <w:bookmarkStart w:id="750" w:name="_Toc29093"/>
      <w:r>
        <w:rPr>
          <w:rFonts w:hint="eastAsia"/>
        </w:rPr>
        <w:t>空载试验</w:t>
      </w:r>
      <w:bookmarkEnd w:id="744"/>
      <w:bookmarkEnd w:id="745"/>
      <w:bookmarkEnd w:id="746"/>
      <w:bookmarkEnd w:id="747"/>
      <w:bookmarkEnd w:id="748"/>
      <w:bookmarkEnd w:id="749"/>
      <w:bookmarkEnd w:id="750"/>
    </w:p>
    <w:p w14:paraId="6418FD2E">
      <w:pPr>
        <w:pStyle w:val="65"/>
        <w:ind w:firstLine="420"/>
        <w:rPr>
          <w:rFonts w:hint="eastAsia" w:hAnsi="宋体" w:cs="宋体"/>
        </w:rPr>
      </w:pPr>
      <w:r>
        <w:rPr>
          <w:rFonts w:hint="eastAsia" w:hAnsi="宋体" w:cs="宋体"/>
          <w:color w:val="000000"/>
        </w:rPr>
        <w:t>成套设备安装完成后，按操作和维护手册进行空载试验，设备主运动机构连续运动时间不少于120 min，检查设备运转情况和工作稳定性，包括启动、停止动作的灵活性，操作开关、报警装置的可靠性等。</w:t>
      </w:r>
    </w:p>
    <w:bookmarkEnd w:id="743"/>
    <w:p w14:paraId="2DB5BDE1">
      <w:pPr>
        <w:numPr>
          <w:ilvl w:val="3"/>
          <w:numId w:val="38"/>
        </w:numPr>
        <w:adjustRightInd/>
        <w:spacing w:before="120" w:beforeLines="50" w:after="120" w:afterLines="50" w:line="240" w:lineRule="auto"/>
        <w:jc w:val="both"/>
        <w:outlineLvl w:val="2"/>
        <w:rPr>
          <w:rFonts w:hint="eastAsia" w:ascii="黑体" w:hAnsi="黑体" w:eastAsia="黑体" w:cs="宋体"/>
          <w:kern w:val="0"/>
        </w:rPr>
      </w:pPr>
      <w:bookmarkStart w:id="751" w:name="_Toc6964"/>
      <w:bookmarkStart w:id="752" w:name="_Toc30861"/>
      <w:r>
        <w:rPr>
          <w:rFonts w:hint="eastAsia" w:ascii="黑体" w:hAnsi="黑体" w:eastAsia="黑体" w:cs="宋体"/>
          <w:kern w:val="0"/>
        </w:rPr>
        <w:t>负载试验</w:t>
      </w:r>
      <w:bookmarkEnd w:id="751"/>
      <w:bookmarkEnd w:id="752"/>
    </w:p>
    <w:p w14:paraId="3042375B">
      <w:pPr>
        <w:numPr>
          <w:ilvl w:val="255"/>
          <w:numId w:val="0"/>
        </w:numPr>
        <w:autoSpaceDE w:val="0"/>
        <w:autoSpaceDN w:val="0"/>
        <w:adjustRightInd/>
        <w:spacing w:line="240" w:lineRule="auto"/>
        <w:ind w:firstLine="420" w:firstLineChars="200"/>
        <w:jc w:val="both"/>
        <w:rPr>
          <w:rFonts w:hint="eastAsia" w:ascii="宋体" w:hAnsi="宋体" w:cs="宋体"/>
          <w:kern w:val="0"/>
        </w:rPr>
      </w:pPr>
      <w:r>
        <w:rPr>
          <w:rFonts w:hint="eastAsia" w:ascii="宋体" w:hAnsi="宋体" w:cs="宋体"/>
          <w:kern w:val="0"/>
        </w:rPr>
        <w:t>成套设备经过空载试验后，按操作和维护手册进行负载试验，负载试验时间不少于120 min。检验设备在满负荷条件下运行的平稳性及可靠性，操作开关、报警装置、过载保护装置和噪声隔离装置的可靠性，所有联动机构和有关电气、气动、润滑等系统及安全卫生防护的可靠性，执行动作的准确性及性能参数指标等。</w:t>
      </w:r>
    </w:p>
    <w:p w14:paraId="775276FF">
      <w:pPr>
        <w:numPr>
          <w:ilvl w:val="3"/>
          <w:numId w:val="38"/>
        </w:numPr>
        <w:adjustRightInd/>
        <w:spacing w:before="120" w:beforeLines="50" w:after="120" w:afterLines="50" w:line="240" w:lineRule="auto"/>
        <w:jc w:val="both"/>
        <w:outlineLvl w:val="2"/>
        <w:rPr>
          <w:rFonts w:hint="eastAsia" w:ascii="黑体" w:hAnsi="黑体" w:eastAsia="黑体" w:cs="宋体"/>
          <w:kern w:val="0"/>
        </w:rPr>
      </w:pPr>
      <w:bookmarkStart w:id="753" w:name="_Toc6549"/>
      <w:bookmarkStart w:id="754" w:name="_Toc16399"/>
      <w:r>
        <w:rPr>
          <w:rFonts w:hint="eastAsia" w:ascii="黑体" w:hAnsi="黑体" w:eastAsia="黑体" w:cs="宋体"/>
          <w:kern w:val="0"/>
        </w:rPr>
        <w:t>加工能力试验</w:t>
      </w:r>
      <w:bookmarkEnd w:id="753"/>
      <w:bookmarkEnd w:id="754"/>
    </w:p>
    <w:p w14:paraId="31AC05C8">
      <w:pPr>
        <w:pStyle w:val="65"/>
        <w:ind w:firstLine="420"/>
        <w:rPr>
          <w:rFonts w:hint="eastAsia" w:hAnsi="宋体" w:cs="宋体"/>
          <w:szCs w:val="21"/>
        </w:rPr>
      </w:pPr>
      <w:bookmarkStart w:id="755" w:name="OLE_LINK46"/>
      <w:r>
        <w:rPr>
          <w:rFonts w:hint="eastAsia" w:hAnsi="宋体" w:cs="宋体"/>
          <w:szCs w:val="21"/>
        </w:rPr>
        <w:t>成套设备以额定加工能力正常运行时，记录清洗浸泡设备体积，用精度不低于10 g的电子天平称取干燥谷物质量，按公式（2）计算加工能力，重复进行三次。</w:t>
      </w:r>
    </w:p>
    <w:p w14:paraId="2F6687EC">
      <w:pPr>
        <w:tabs>
          <w:tab w:val="center" w:leader="middleDot" w:pos="5250"/>
          <w:tab w:val="center" w:pos="31680"/>
        </w:tabs>
        <w:autoSpaceDE w:val="0"/>
        <w:autoSpaceDN w:val="0"/>
        <w:adjustRightInd/>
        <w:spacing w:line="240" w:lineRule="auto"/>
        <w:ind w:firstLine="420"/>
        <w:jc w:val="right"/>
        <w:rPr>
          <w:rFonts w:ascii="Times New Roman" w:hAnsi="Times New Roman"/>
        </w:rPr>
      </w:pPr>
      <m:oMath>
        <w:bookmarkStart w:id="756" w:name="_Hlk209014483"/>
        <m:r>
          <m:rPr/>
          <w:rPr>
            <w:rFonts w:ascii="Cambria Math" w:hAnsi="Cambria Math"/>
          </w:rPr>
          <m:t>G=</m:t>
        </m:r>
        <m:f>
          <m:fPr>
            <m:ctrlPr>
              <w:rPr>
                <w:rFonts w:ascii="Cambria Math" w:hAnsi="Cambria Math"/>
                <w:i/>
              </w:rPr>
            </m:ctrlPr>
          </m:fPr>
          <m:num>
            <m:sSub>
              <m:sSubPr>
                <m:ctrlPr>
                  <w:rPr>
                    <w:rFonts w:ascii="Cambria Math" w:hAnsi="Cambria Math"/>
                    <w:i/>
                  </w:rPr>
                </m:ctrlPr>
              </m:sSubPr>
              <m:e>
                <m:r>
                  <m:rPr/>
                  <w:rPr>
                    <w:rFonts w:hint="eastAsia" w:ascii="Cambria Math" w:hAnsi="Cambria Math"/>
                  </w:rPr>
                  <m:t>m</m:t>
                </m:r>
                <m:ctrlPr>
                  <w:rPr>
                    <w:rFonts w:ascii="Cambria Math" w:hAnsi="Cambria Math"/>
                    <w:i/>
                  </w:rPr>
                </m:ctrlPr>
              </m:e>
              <m:sub>
                <m:r>
                  <m:rPr/>
                  <w:rPr>
                    <w:rFonts w:ascii="Cambria Math" w:hAnsi="Cambria Math"/>
                  </w:rPr>
                  <m:t>2</m:t>
                </m:r>
                <m:ctrlPr>
                  <w:rPr>
                    <w:rFonts w:ascii="Cambria Math" w:hAnsi="Cambria Math"/>
                    <w:i/>
                  </w:rPr>
                </m:ctrlPr>
              </m:sub>
            </m:sSub>
            <m:ctrlPr>
              <w:rPr>
                <w:rFonts w:ascii="Cambria Math" w:hAnsi="Cambria Math"/>
                <w:i/>
              </w:rPr>
            </m:ctrlPr>
          </m:num>
          <m:den>
            <m:r>
              <m:rPr/>
              <w:rPr>
                <w:rFonts w:hint="eastAsia" w:ascii="Cambria Math" w:hAnsi="Cambria Math"/>
              </w:rPr>
              <m:t>v</m:t>
            </m:r>
            <m:ctrlPr>
              <w:rPr>
                <w:rFonts w:ascii="Cambria Math" w:hAnsi="Cambria Math"/>
                <w:i/>
              </w:rPr>
            </m:ctrlPr>
          </m:den>
        </m:f>
      </m:oMath>
      <w:r>
        <w:rPr>
          <w:rFonts w:ascii="Times New Roman" w:hAnsi="Times New Roman"/>
        </w:rPr>
        <w:t xml:space="preserve"> </w:t>
      </w:r>
      <w:r>
        <w:rPr>
          <w:rFonts w:ascii="Times New Roman" w:hAnsi="Times New Roman"/>
        </w:rPr>
        <w:tab/>
      </w:r>
      <w:r>
        <w:rPr>
          <w:rFonts w:hint="eastAsia" w:ascii="Times New Roman" w:hAnsi="Times New Roman"/>
        </w:rPr>
        <w:t>（2）</w:t>
      </w:r>
    </w:p>
    <w:p w14:paraId="0B794067">
      <w:pPr>
        <w:pStyle w:val="65"/>
        <w:ind w:firstLine="420"/>
        <w:rPr>
          <w:rFonts w:hint="eastAsia" w:hAnsi="宋体" w:cs="宋体"/>
          <w:szCs w:val="21"/>
        </w:rPr>
      </w:pPr>
      <w:bookmarkStart w:id="757" w:name="_Hlk208822857"/>
      <w:r>
        <w:rPr>
          <w:rFonts w:hint="eastAsia" w:hAnsi="宋体" w:cs="宋体"/>
          <w:szCs w:val="21"/>
        </w:rPr>
        <w:t>式中：</w:t>
      </w:r>
    </w:p>
    <w:p w14:paraId="45A876D3">
      <w:pPr>
        <w:pStyle w:val="65"/>
        <w:ind w:firstLine="420"/>
        <w:rPr>
          <w:rFonts w:hint="eastAsia" w:hAnsi="宋体" w:cs="宋体"/>
          <w:szCs w:val="21"/>
        </w:rPr>
      </w:pPr>
      <m:oMath>
        <m:r>
          <m:rPr/>
          <w:rPr>
            <w:rFonts w:ascii="Cambria Math" w:hAnsi="Cambria Math" w:cs="宋体"/>
          </w:rPr>
          <m:t>G</m:t>
        </m:r>
      </m:oMath>
      <w:r>
        <w:rPr>
          <w:rFonts w:hint="eastAsia" w:hAnsi="宋体" w:cs="宋体"/>
          <w:szCs w:val="21"/>
        </w:rPr>
        <w:t>——加工能力，单位为千克每立方米（kg/</w:t>
      </w:r>
      <w:bookmarkStart w:id="758" w:name="OLE_LINK3"/>
      <w:r>
        <w:rPr>
          <w:rFonts w:hint="eastAsia" w:hAnsi="宋体" w:cs="宋体"/>
          <w:szCs w:val="21"/>
        </w:rPr>
        <w:t>m</w:t>
      </w:r>
      <w:r>
        <w:rPr>
          <w:rFonts w:hint="eastAsia" w:hAnsi="宋体" w:cs="宋体"/>
          <w:szCs w:val="21"/>
          <w:vertAlign w:val="superscript"/>
        </w:rPr>
        <w:t>3</w:t>
      </w:r>
      <w:bookmarkEnd w:id="758"/>
      <w:r>
        <w:rPr>
          <w:rFonts w:hint="eastAsia" w:hAnsi="宋体" w:cs="宋体"/>
          <w:szCs w:val="21"/>
        </w:rPr>
        <w:t>）；</w:t>
      </w:r>
    </w:p>
    <w:p w14:paraId="6AE35A76">
      <w:pPr>
        <w:pStyle w:val="65"/>
        <w:ind w:firstLine="420"/>
        <w:rPr>
          <w:rFonts w:hint="eastAsia" w:hAnsi="宋体" w:cs="宋体"/>
          <w:szCs w:val="21"/>
        </w:rPr>
      </w:pPr>
      <m:oMath>
        <m:sSub>
          <m:sSubPr>
            <m:ctrlPr>
              <w:rPr>
                <w:rFonts w:ascii="Cambria Math" w:hAnsi="Cambria Math" w:cs="宋体"/>
                <w:i/>
              </w:rPr>
            </m:ctrlPr>
          </m:sSubPr>
          <m:e>
            <m:r>
              <m:rPr/>
              <w:rPr>
                <w:rFonts w:hint="eastAsia" w:ascii="Cambria Math" w:hAnsi="Cambria Math" w:cs="宋体"/>
              </w:rPr>
              <m:t>m</m:t>
            </m:r>
            <m:ctrlPr>
              <w:rPr>
                <w:rFonts w:ascii="Cambria Math" w:hAnsi="Cambria Math" w:cs="宋体"/>
                <w:i/>
              </w:rPr>
            </m:ctrlPr>
          </m:e>
          <m:sub>
            <m:r>
              <m:rPr/>
              <w:rPr>
                <w:rFonts w:ascii="Cambria Math" w:hAnsi="Cambria Math" w:cs="宋体"/>
              </w:rPr>
              <m:t>2</m:t>
            </m:r>
            <m:ctrlPr>
              <w:rPr>
                <w:rFonts w:ascii="Cambria Math" w:hAnsi="Cambria Math" w:cs="宋体"/>
                <w:i/>
              </w:rPr>
            </m:ctrlPr>
          </m:sub>
        </m:sSub>
      </m:oMath>
      <w:r>
        <w:rPr>
          <w:rFonts w:hint="eastAsia" w:hAnsi="宋体" w:cs="宋体"/>
          <w:szCs w:val="21"/>
        </w:rPr>
        <w:t>——清洗浸泡的干燥谷物质量，单位为克（kg）；</w:t>
      </w:r>
    </w:p>
    <w:p w14:paraId="2F124A98">
      <w:pPr>
        <w:pStyle w:val="65"/>
        <w:ind w:firstLine="420"/>
        <w:rPr>
          <w:rFonts w:hint="eastAsia" w:hAnsi="宋体" w:cs="宋体"/>
          <w:szCs w:val="21"/>
        </w:rPr>
      </w:pPr>
      <m:oMath>
        <m:r>
          <m:rPr/>
          <w:rPr>
            <w:rFonts w:hint="eastAsia" w:ascii="Cambria Math" w:hAnsi="Cambria Math" w:cs="宋体"/>
          </w:rPr>
          <m:t>v</m:t>
        </m:r>
      </m:oMath>
      <w:r>
        <w:rPr>
          <w:rFonts w:hint="eastAsia" w:hAnsi="宋体" w:cs="宋体"/>
          <w:szCs w:val="21"/>
        </w:rPr>
        <w:t>——清洗浸泡设备的体积，单位为立方米（m</w:t>
      </w:r>
      <w:r>
        <w:rPr>
          <w:rFonts w:hint="eastAsia" w:hAnsi="宋体" w:cs="宋体"/>
          <w:szCs w:val="21"/>
          <w:vertAlign w:val="superscript"/>
        </w:rPr>
        <w:t>3</w:t>
      </w:r>
      <w:r>
        <w:rPr>
          <w:rFonts w:hint="eastAsia" w:hAnsi="宋体" w:cs="宋体"/>
          <w:szCs w:val="21"/>
        </w:rPr>
        <w:t>）。</w:t>
      </w:r>
    </w:p>
    <w:bookmarkEnd w:id="756"/>
    <w:bookmarkEnd w:id="757"/>
    <w:p w14:paraId="6BC46815">
      <w:pPr>
        <w:numPr>
          <w:ilvl w:val="3"/>
          <w:numId w:val="38"/>
        </w:numPr>
        <w:adjustRightInd/>
        <w:spacing w:before="120" w:beforeLines="50" w:after="120" w:afterLines="50" w:line="240" w:lineRule="auto"/>
        <w:jc w:val="both"/>
        <w:outlineLvl w:val="2"/>
        <w:rPr>
          <w:rFonts w:hint="eastAsia" w:ascii="黑体" w:hAnsi="黑体" w:eastAsia="黑体" w:cs="宋体"/>
        </w:rPr>
      </w:pPr>
      <w:r>
        <w:rPr>
          <w:rFonts w:hint="eastAsia" w:ascii="黑体" w:hAnsi="黑体" w:eastAsia="黑体" w:cs="宋体"/>
          <w:kern w:val="0"/>
        </w:rPr>
        <w:t>单位谷物能耗量试验</w:t>
      </w:r>
    </w:p>
    <w:p w14:paraId="68D9D6AD">
      <w:pPr>
        <w:pStyle w:val="65"/>
        <w:ind w:firstLine="420"/>
        <w:rPr>
          <w:rFonts w:hint="eastAsia" w:hAnsi="宋体" w:cs="宋体"/>
          <w:szCs w:val="21"/>
        </w:rPr>
      </w:pPr>
      <w:r>
        <w:rPr>
          <w:rFonts w:hint="eastAsia" w:hAnsi="宋体" w:cs="宋体"/>
          <w:szCs w:val="21"/>
        </w:rPr>
        <w:t>成套设备正常运行时，使用符合GB 17167要求的能源计量仪计量直接生产所消耗的电量、水量和压缩空气量（1 kWh的电能可转化3600 KJ的能量，</w:t>
      </w:r>
      <w:r>
        <w:rPr>
          <w:rFonts w:hint="eastAsia" w:hAnsi="宋体"/>
        </w:rPr>
        <w:t>1</w:t>
      </w:r>
      <w:r>
        <w:rPr>
          <w:rFonts w:hint="eastAsia"/>
        </w:rPr>
        <w:t xml:space="preserve"> </w:t>
      </w:r>
      <w:r>
        <w:rPr>
          <w:rFonts w:hint="eastAsia" w:hAnsi="宋体"/>
        </w:rPr>
        <w:t>m</w:t>
      </w:r>
      <w:r>
        <w:rPr>
          <w:rFonts w:hint="eastAsia"/>
          <w:vertAlign w:val="superscript"/>
        </w:rPr>
        <w:t>3</w:t>
      </w:r>
      <w:r>
        <w:rPr>
          <w:rFonts w:hint="eastAsia" w:hAnsi="宋体"/>
        </w:rPr>
        <w:t>的水</w:t>
      </w:r>
      <w:r>
        <w:rPr>
          <w:rFonts w:hint="eastAsia" w:hAnsi="宋体" w:cs="宋体"/>
          <w:szCs w:val="21"/>
        </w:rPr>
        <w:t>可转化</w:t>
      </w:r>
      <w:r>
        <w:rPr>
          <w:rFonts w:hint="eastAsia" w:hAnsi="宋体"/>
        </w:rPr>
        <w:t>7533.03</w:t>
      </w:r>
      <w:r>
        <w:rPr>
          <w:rFonts w:hint="eastAsia"/>
        </w:rPr>
        <w:t xml:space="preserve"> </w:t>
      </w:r>
      <w:r>
        <w:rPr>
          <w:rFonts w:hint="eastAsia" w:hAnsi="宋体"/>
        </w:rPr>
        <w:t>K</w:t>
      </w:r>
      <w:r>
        <w:rPr>
          <w:rFonts w:hint="eastAsia"/>
        </w:rPr>
        <w:t>J</w:t>
      </w:r>
      <w:r>
        <w:rPr>
          <w:rFonts w:hint="eastAsia" w:hAnsi="宋体"/>
        </w:rPr>
        <w:t>的能量，1</w:t>
      </w:r>
      <w:r>
        <w:rPr>
          <w:rFonts w:hint="eastAsia"/>
        </w:rPr>
        <w:t xml:space="preserve"> </w:t>
      </w:r>
      <w:r>
        <w:rPr>
          <w:rFonts w:hint="eastAsia" w:hAnsi="宋体"/>
        </w:rPr>
        <w:t>m</w:t>
      </w:r>
      <w:r>
        <w:rPr>
          <w:rFonts w:hint="eastAsia"/>
          <w:vertAlign w:val="superscript"/>
        </w:rPr>
        <w:t>3</w:t>
      </w:r>
      <w:r>
        <w:rPr>
          <w:rFonts w:hint="eastAsia" w:hAnsi="宋体"/>
        </w:rPr>
        <w:t>的压缩空气</w:t>
      </w:r>
      <w:r>
        <w:rPr>
          <w:rFonts w:hint="eastAsia" w:hAnsi="宋体" w:cs="宋体"/>
          <w:szCs w:val="21"/>
        </w:rPr>
        <w:t>可转化</w:t>
      </w:r>
      <w:r>
        <w:rPr>
          <w:rFonts w:hint="eastAsia" w:hAnsi="宋体"/>
        </w:rPr>
        <w:t>3955.5</w:t>
      </w:r>
      <w:r>
        <w:rPr>
          <w:rFonts w:hint="eastAsia"/>
        </w:rPr>
        <w:t xml:space="preserve"> </w:t>
      </w:r>
      <w:r>
        <w:rPr>
          <w:rFonts w:hint="eastAsia" w:hAnsi="宋体"/>
        </w:rPr>
        <w:t>K</w:t>
      </w:r>
      <w:r>
        <w:rPr>
          <w:rFonts w:hint="eastAsia"/>
        </w:rPr>
        <w:t>J</w:t>
      </w:r>
      <w:r>
        <w:rPr>
          <w:rFonts w:hint="eastAsia" w:hAnsi="宋体"/>
        </w:rPr>
        <w:t>的能量</w:t>
      </w:r>
      <w:r>
        <w:rPr>
          <w:rFonts w:hint="eastAsia" w:hAnsi="宋体" w:cs="宋体"/>
          <w:szCs w:val="21"/>
        </w:rPr>
        <w:t>），每次记录一班，按公式（3）计算单位谷物能耗量，重复进行三次。</w:t>
      </w:r>
    </w:p>
    <w:p w14:paraId="080D9E2B">
      <w:pPr>
        <w:tabs>
          <w:tab w:val="center" w:leader="middleDot" w:pos="5250"/>
          <w:tab w:val="center" w:pos="31680"/>
        </w:tabs>
        <w:autoSpaceDE w:val="0"/>
        <w:autoSpaceDN w:val="0"/>
        <w:adjustRightInd/>
        <w:spacing w:before="120" w:beforeLines="50" w:after="120" w:afterLines="50" w:line="240" w:lineRule="auto"/>
        <w:ind w:firstLine="420"/>
        <w:jc w:val="right"/>
        <w:rPr>
          <w:rFonts w:ascii="Times New Roman" w:hAnsi="Times New Roman"/>
        </w:rPr>
      </w:pPr>
      <m:oMath>
        <m:r>
          <m:rPr/>
          <w:rPr>
            <w:rFonts w:ascii="Cambria Math" w:hAnsi="Cambria Math"/>
          </w:rPr>
          <m:t>E=</m:t>
        </m:r>
        <m:f>
          <m:fPr>
            <m:ctrlPr>
              <w:rPr>
                <w:rFonts w:ascii="Cambria Math" w:hAnsi="Cambria Math"/>
                <w:i/>
              </w:rPr>
            </m:ctrlPr>
          </m:fPr>
          <m:num>
            <m:r>
              <m:rPr/>
              <w:rPr>
                <w:rFonts w:ascii="Cambria Math" w:hAnsi="Cambria Math"/>
              </w:rPr>
              <m:t>3600</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1</m:t>
                </m:r>
                <m:ctrlPr>
                  <w:rPr>
                    <w:rFonts w:ascii="Cambria Math" w:hAnsi="Cambria Math"/>
                    <w:i/>
                  </w:rPr>
                </m:ctrlPr>
              </m:sub>
            </m:sSub>
            <m:r>
              <m:rPr/>
              <w:rPr>
                <w:rFonts w:ascii="Cambria Math" w:hAnsi="Cambria Math"/>
              </w:rPr>
              <m:t>+7533.03</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2</m:t>
                </m:r>
                <m:ctrlPr>
                  <w:rPr>
                    <w:rFonts w:ascii="Cambria Math" w:hAnsi="Cambria Math"/>
                    <w:i/>
                  </w:rPr>
                </m:ctrlPr>
              </m:sub>
            </m:sSub>
            <m:r>
              <m:rPr/>
              <w:rPr>
                <w:rFonts w:ascii="Cambria Math" w:hAnsi="Cambria Math"/>
              </w:rPr>
              <m:t>+3955.5</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3</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hint="eastAsia" w:ascii="Cambria Math" w:hAnsi="Cambria Math"/>
                  </w:rPr>
                  <m:t>m</m:t>
                </m:r>
                <m:ctrlPr>
                  <w:rPr>
                    <w:rFonts w:ascii="Cambria Math" w:hAnsi="Cambria Math"/>
                    <w:i/>
                  </w:rPr>
                </m:ctrlPr>
              </m:e>
              <m:sub>
                <m:r>
                  <m:rPr/>
                  <w:rPr>
                    <w:rFonts w:ascii="Cambria Math" w:hAnsi="Cambria Math"/>
                  </w:rPr>
                  <m:t>3</m:t>
                </m:r>
                <m:ctrlPr>
                  <w:rPr>
                    <w:rFonts w:ascii="Cambria Math" w:hAnsi="Cambria Math"/>
                    <w:i/>
                  </w:rPr>
                </m:ctrlPr>
              </m:sub>
            </m:sSub>
            <m:ctrlPr>
              <w:rPr>
                <w:rFonts w:ascii="Cambria Math" w:hAnsi="Cambria Math"/>
                <w:i/>
              </w:rPr>
            </m:ctrlPr>
          </m:den>
        </m:f>
      </m:oMath>
      <w:r>
        <w:rPr>
          <w:rFonts w:ascii="Times New Roman" w:hAnsi="Times New Roman"/>
        </w:rPr>
        <w:t xml:space="preserve"> </w:t>
      </w:r>
      <w:r>
        <w:rPr>
          <w:rFonts w:ascii="Times New Roman" w:hAnsi="Times New Roman"/>
        </w:rPr>
        <w:tab/>
      </w:r>
      <w:r>
        <w:rPr>
          <w:rFonts w:hint="eastAsia" w:ascii="Times New Roman" w:hAnsi="Times New Roman"/>
        </w:rPr>
        <w:t>（3）</w:t>
      </w:r>
    </w:p>
    <w:p w14:paraId="0D7979A4">
      <w:pPr>
        <w:widowControl/>
        <w:autoSpaceDE w:val="0"/>
        <w:autoSpaceDN w:val="0"/>
        <w:adjustRightInd/>
        <w:spacing w:line="240" w:lineRule="auto"/>
        <w:ind w:firstLine="420" w:firstLineChars="200"/>
        <w:jc w:val="both"/>
        <w:rPr>
          <w:rFonts w:hint="eastAsia" w:ascii="宋体" w:hAnsi="宋体" w:cs="宋体"/>
          <w:kern w:val="0"/>
        </w:rPr>
      </w:pPr>
      <w:r>
        <w:rPr>
          <w:rFonts w:hint="eastAsia" w:ascii="宋体" w:hAnsi="宋体" w:cs="宋体"/>
          <w:kern w:val="0"/>
        </w:rPr>
        <w:t>式中：</w:t>
      </w:r>
    </w:p>
    <w:p w14:paraId="083C4DE4">
      <w:pPr>
        <w:pStyle w:val="299"/>
        <w:autoSpaceDE w:val="0"/>
        <w:autoSpaceDN w:val="0"/>
        <w:ind w:firstLine="420" w:firstLineChars="200"/>
        <w:rPr>
          <w:rFonts w:hint="eastAsia" w:ascii="宋体" w:hAnsi="宋体" w:cs="宋体"/>
          <w:kern w:val="0"/>
        </w:rPr>
      </w:pPr>
      <m:oMath>
        <m:r>
          <m:rPr/>
          <w:rPr>
            <w:rFonts w:ascii="Cambria Math" w:hAnsi="Cambria Math" w:cs="宋体"/>
            <w:kern w:val="0"/>
            <w:szCs w:val="20"/>
          </w:rPr>
          <m:t>E</m:t>
        </m:r>
      </m:oMath>
      <w:r>
        <w:rPr>
          <w:rFonts w:hint="eastAsia" w:ascii="宋体" w:hAnsi="宋体" w:cs="宋体"/>
          <w:kern w:val="0"/>
        </w:rPr>
        <w:t>——</w:t>
      </w:r>
      <w:r>
        <w:rPr>
          <w:rFonts w:hint="eastAsia" w:ascii="宋体" w:hAnsi="宋体" w:cs="Times New Roman"/>
        </w:rPr>
        <w:t>成套设备清洗泡发</w:t>
      </w:r>
      <w:r>
        <w:rPr>
          <w:rFonts w:ascii="宋体" w:hAnsi="宋体" w:cs="Times New Roman"/>
        </w:rPr>
        <w:t>单位质量</w:t>
      </w:r>
      <w:r>
        <w:rPr>
          <w:rFonts w:hint="eastAsia" w:ascii="宋体" w:hAnsi="宋体" w:cs="Times New Roman"/>
        </w:rPr>
        <w:t>干燥谷物的</w:t>
      </w:r>
      <w:r>
        <w:rPr>
          <w:rFonts w:ascii="宋体" w:hAnsi="宋体" w:cs="Times New Roman"/>
        </w:rPr>
        <w:t>综合能耗，单位为</w:t>
      </w:r>
      <w:r>
        <w:rPr>
          <w:rFonts w:hint="eastAsia" w:ascii="宋体" w:hAnsi="宋体" w:cs="Times New Roman"/>
        </w:rPr>
        <w:t>千</w:t>
      </w:r>
      <w:r>
        <w:rPr>
          <w:rFonts w:ascii="宋体" w:hAnsi="宋体" w:cs="Times New Roman"/>
        </w:rPr>
        <w:t>焦每千克（</w:t>
      </w:r>
      <w:r>
        <w:rPr>
          <w:rFonts w:hint="eastAsia" w:ascii="宋体" w:hAnsi="宋体" w:cs="宋体"/>
          <w:kern w:val="0"/>
        </w:rPr>
        <w:t>K</w:t>
      </w:r>
      <w:r>
        <w:rPr>
          <w:rFonts w:ascii="宋体" w:hAnsi="宋体" w:cs="宋体"/>
          <w:kern w:val="0"/>
        </w:rPr>
        <w:t>J/kg</w:t>
      </w:r>
      <w:r>
        <w:rPr>
          <w:rFonts w:ascii="宋体" w:hAnsi="宋体" w:cs="Times New Roman"/>
        </w:rPr>
        <w:t>）</w:t>
      </w:r>
      <w:r>
        <w:rPr>
          <w:rFonts w:hint="eastAsia" w:ascii="宋体" w:hAnsi="宋体" w:cs="宋体"/>
          <w:kern w:val="0"/>
        </w:rPr>
        <w:t>；</w:t>
      </w:r>
    </w:p>
    <w:p w14:paraId="0C84D7FB">
      <w:pPr>
        <w:widowControl/>
        <w:tabs>
          <w:tab w:val="center" w:pos="4201"/>
          <w:tab w:val="right" w:leader="dot" w:pos="9298"/>
        </w:tabs>
        <w:autoSpaceDE w:val="0"/>
        <w:autoSpaceDN w:val="0"/>
        <w:adjustRightInd/>
        <w:spacing w:line="240" w:lineRule="auto"/>
        <w:ind w:firstLine="420" w:firstLineChars="200"/>
        <w:jc w:val="both"/>
        <w:rPr>
          <w:rFonts w:ascii="Times New Roman" w:hAnsi="Times New Roman"/>
          <w:kern w:val="0"/>
        </w:rPr>
      </w:pPr>
      <m:oMath>
        <m:sSub>
          <m:sSubPr>
            <m:ctrlPr>
              <w:rPr>
                <w:rFonts w:ascii="Cambria Math" w:hAnsi="Cambria Math" w:cs="宋体"/>
                <w:i/>
                <w:kern w:val="0"/>
              </w:rPr>
            </m:ctrlPr>
          </m:sSubPr>
          <m:e>
            <m:r>
              <m:rPr/>
              <w:rPr>
                <w:rFonts w:ascii="Cambria Math" w:hAnsi="Cambria Math" w:cs="宋体"/>
                <w:kern w:val="0"/>
              </w:rPr>
              <m:t>E</m:t>
            </m:r>
            <m:ctrlPr>
              <w:rPr>
                <w:rFonts w:ascii="Cambria Math" w:hAnsi="Cambria Math" w:cs="宋体"/>
                <w:i/>
                <w:kern w:val="0"/>
              </w:rPr>
            </m:ctrlPr>
          </m:e>
          <m:sub>
            <m:r>
              <m:rPr/>
              <w:rPr>
                <w:rFonts w:ascii="Cambria Math" w:hAnsi="Cambria Math" w:cs="宋体"/>
                <w:kern w:val="0"/>
              </w:rPr>
              <m:t>1</m:t>
            </m:r>
            <m:ctrlPr>
              <w:rPr>
                <w:rFonts w:ascii="Cambria Math" w:hAnsi="Cambria Math" w:cs="宋体"/>
                <w:i/>
                <w:kern w:val="0"/>
              </w:rPr>
            </m:ctrlPr>
          </m:sub>
        </m:sSub>
      </m:oMath>
      <w:r>
        <w:rPr>
          <w:rFonts w:hint="eastAsia" w:ascii="宋体" w:hAnsi="宋体" w:cs="宋体"/>
          <w:kern w:val="0"/>
        </w:rPr>
        <w:t>——成套设备清洗泡发一班干燥</w:t>
      </w:r>
      <w:r>
        <w:rPr>
          <w:rFonts w:ascii="宋体" w:hAnsi="宋体"/>
          <w:kern w:val="0"/>
        </w:rPr>
        <w:t>谷物</w:t>
      </w:r>
      <w:r>
        <w:rPr>
          <w:rFonts w:hint="eastAsia" w:ascii="宋体" w:hAnsi="宋体"/>
          <w:kern w:val="0"/>
        </w:rPr>
        <w:t>的</w:t>
      </w:r>
      <w:r>
        <w:rPr>
          <w:rFonts w:ascii="宋体" w:hAnsi="宋体"/>
          <w:kern w:val="0"/>
        </w:rPr>
        <w:t>耗电量，单位为千瓦时（kWh）；</w:t>
      </w:r>
    </w:p>
    <w:p w14:paraId="5F5E7BD8">
      <w:pPr>
        <w:widowControl/>
        <w:tabs>
          <w:tab w:val="center" w:pos="4201"/>
          <w:tab w:val="right" w:leader="dot" w:pos="9298"/>
        </w:tabs>
        <w:autoSpaceDE w:val="0"/>
        <w:autoSpaceDN w:val="0"/>
        <w:adjustRightInd/>
        <w:spacing w:line="240" w:lineRule="auto"/>
        <w:ind w:firstLine="420" w:firstLineChars="200"/>
        <w:jc w:val="both"/>
        <w:rPr>
          <w:rFonts w:ascii="Times New Roman" w:hAnsi="Times New Roman"/>
          <w:kern w:val="0"/>
        </w:rPr>
      </w:pPr>
      <m:oMath>
        <m:sSub>
          <m:sSubPr>
            <m:ctrlPr>
              <w:rPr>
                <w:rFonts w:ascii="Cambria Math" w:hAnsi="Cambria Math" w:cs="宋体"/>
                <w:i/>
                <w:kern w:val="0"/>
              </w:rPr>
            </m:ctrlPr>
          </m:sSubPr>
          <m:e>
            <m:r>
              <m:rPr/>
              <w:rPr>
                <w:rFonts w:ascii="Cambria Math" w:hAnsi="Cambria Math" w:cs="宋体"/>
                <w:kern w:val="0"/>
              </w:rPr>
              <m:t>E</m:t>
            </m:r>
            <m:ctrlPr>
              <w:rPr>
                <w:rFonts w:ascii="Cambria Math" w:hAnsi="Cambria Math" w:cs="宋体"/>
                <w:i/>
                <w:kern w:val="0"/>
              </w:rPr>
            </m:ctrlPr>
          </m:e>
          <m:sub>
            <m:r>
              <m:rPr/>
              <w:rPr>
                <w:rFonts w:ascii="Cambria Math" w:hAnsi="Cambria Math" w:cs="宋体"/>
                <w:kern w:val="0"/>
              </w:rPr>
              <m:t>2</m:t>
            </m:r>
            <m:ctrlPr>
              <w:rPr>
                <w:rFonts w:ascii="Cambria Math" w:hAnsi="Cambria Math" w:cs="宋体"/>
                <w:i/>
                <w:kern w:val="0"/>
              </w:rPr>
            </m:ctrlPr>
          </m:sub>
        </m:sSub>
      </m:oMath>
      <w:r>
        <w:rPr>
          <w:rFonts w:hint="eastAsia" w:ascii="宋体" w:hAnsi="宋体" w:cs="宋体"/>
          <w:kern w:val="0"/>
        </w:rPr>
        <w:t>——成套设备清洗泡发一班干燥</w:t>
      </w:r>
      <w:r>
        <w:rPr>
          <w:rFonts w:ascii="宋体" w:hAnsi="宋体"/>
          <w:kern w:val="0"/>
        </w:rPr>
        <w:t>谷物</w:t>
      </w:r>
      <w:r>
        <w:rPr>
          <w:rFonts w:hint="eastAsia" w:ascii="宋体" w:hAnsi="宋体"/>
          <w:kern w:val="0"/>
        </w:rPr>
        <w:t>的</w:t>
      </w:r>
      <w:r>
        <w:rPr>
          <w:rFonts w:ascii="宋体" w:hAnsi="宋体"/>
          <w:kern w:val="0"/>
        </w:rPr>
        <w:t>耗</w:t>
      </w:r>
      <w:r>
        <w:rPr>
          <w:rFonts w:hint="eastAsia" w:ascii="宋体" w:hAnsi="宋体"/>
          <w:kern w:val="0"/>
        </w:rPr>
        <w:t>水</w:t>
      </w:r>
      <w:r>
        <w:rPr>
          <w:rFonts w:ascii="宋体" w:hAnsi="宋体"/>
          <w:kern w:val="0"/>
        </w:rPr>
        <w:t>量，单位为立方米（m</w:t>
      </w:r>
      <w:r>
        <w:rPr>
          <w:rFonts w:ascii="宋体" w:hAnsi="宋体"/>
          <w:kern w:val="0"/>
          <w:vertAlign w:val="superscript"/>
        </w:rPr>
        <w:t>3</w:t>
      </w:r>
      <w:r>
        <w:rPr>
          <w:rFonts w:ascii="宋体" w:hAnsi="宋体"/>
          <w:kern w:val="0"/>
        </w:rPr>
        <w:t>）；</w:t>
      </w:r>
    </w:p>
    <w:p w14:paraId="46C1E822">
      <w:pPr>
        <w:widowControl/>
        <w:tabs>
          <w:tab w:val="center" w:pos="4201"/>
          <w:tab w:val="right" w:leader="dot" w:pos="9298"/>
        </w:tabs>
        <w:autoSpaceDE w:val="0"/>
        <w:autoSpaceDN w:val="0"/>
        <w:adjustRightInd/>
        <w:spacing w:line="240" w:lineRule="auto"/>
        <w:ind w:firstLine="420" w:firstLineChars="200"/>
        <w:jc w:val="both"/>
        <w:rPr>
          <w:rFonts w:hint="eastAsia" w:ascii="宋体" w:hAnsi="宋体"/>
          <w:kern w:val="0"/>
        </w:rPr>
      </w:pPr>
      <m:oMath>
        <m:sSub>
          <m:sSubPr>
            <m:ctrlPr>
              <w:rPr>
                <w:rFonts w:ascii="Cambria Math" w:hAnsi="Cambria Math"/>
                <w:i/>
                <w:iCs/>
                <w:kern w:val="0"/>
              </w:rPr>
            </m:ctrlPr>
          </m:sSubPr>
          <m:e>
            <m:r>
              <m:rPr/>
              <w:rPr>
                <w:rFonts w:ascii="Cambria Math" w:hAnsi="Cambria Math"/>
                <w:kern w:val="0"/>
              </w:rPr>
              <m:t>E</m:t>
            </m:r>
            <m:ctrlPr>
              <w:rPr>
                <w:rFonts w:ascii="Cambria Math" w:hAnsi="Cambria Math"/>
                <w:i/>
                <w:iCs/>
                <w:kern w:val="0"/>
              </w:rPr>
            </m:ctrlPr>
          </m:e>
          <m:sub>
            <m:r>
              <m:rPr/>
              <w:rPr>
                <w:rFonts w:ascii="Cambria Math" w:hAnsi="Cambria Math"/>
                <w:kern w:val="0"/>
              </w:rPr>
              <m:t>3</m:t>
            </m:r>
            <m:ctrlPr>
              <w:rPr>
                <w:rFonts w:ascii="Cambria Math" w:hAnsi="Cambria Math"/>
                <w:i/>
                <w:iCs/>
                <w:kern w:val="0"/>
              </w:rPr>
            </m:ctrlPr>
          </m:sub>
        </m:sSub>
      </m:oMath>
      <w:r>
        <w:rPr>
          <w:rFonts w:hint="eastAsia" w:ascii="宋体" w:hAnsi="宋体" w:cs="宋体"/>
          <w:kern w:val="0"/>
        </w:rPr>
        <w:t>——成套设备清洗泡发一班干燥</w:t>
      </w:r>
      <w:r>
        <w:rPr>
          <w:rFonts w:ascii="宋体" w:hAnsi="宋体"/>
          <w:kern w:val="0"/>
        </w:rPr>
        <w:t>谷物</w:t>
      </w:r>
      <w:r>
        <w:rPr>
          <w:rFonts w:hint="eastAsia" w:ascii="宋体" w:hAnsi="宋体"/>
          <w:kern w:val="0"/>
        </w:rPr>
        <w:t>消耗的压缩空气</w:t>
      </w:r>
      <w:r>
        <w:rPr>
          <w:rFonts w:ascii="宋体" w:hAnsi="宋体"/>
          <w:kern w:val="0"/>
        </w:rPr>
        <w:t>量，单位为立方米（m</w:t>
      </w:r>
      <w:r>
        <w:rPr>
          <w:rFonts w:ascii="宋体" w:hAnsi="宋体"/>
          <w:kern w:val="0"/>
          <w:vertAlign w:val="superscript"/>
        </w:rPr>
        <w:t>3</w:t>
      </w:r>
      <w:r>
        <w:rPr>
          <w:rFonts w:ascii="宋体" w:hAnsi="宋体"/>
          <w:kern w:val="0"/>
        </w:rPr>
        <w:t>）；</w:t>
      </w:r>
    </w:p>
    <w:p w14:paraId="17F331F4">
      <w:pPr>
        <w:widowControl/>
        <w:autoSpaceDE w:val="0"/>
        <w:autoSpaceDN w:val="0"/>
        <w:adjustRightInd/>
        <w:spacing w:line="240" w:lineRule="auto"/>
        <w:ind w:firstLine="420" w:firstLineChars="200"/>
        <w:jc w:val="both"/>
        <w:rPr>
          <w:rFonts w:hint="eastAsia" w:ascii="宋体" w:hAnsi="宋体"/>
          <w:kern w:val="0"/>
        </w:rPr>
      </w:pPr>
      <w:r>
        <w:rPr>
          <w:rFonts w:ascii="Times New Roman" w:hAnsi="Times New Roman"/>
          <w:i/>
          <w:iCs/>
          <w:kern w:val="0"/>
        </w:rPr>
        <w:t>m</w:t>
      </w:r>
      <w:r>
        <w:rPr>
          <w:rFonts w:ascii="Times New Roman" w:hAnsi="Times New Roman"/>
          <w:iCs/>
          <w:kern w:val="0"/>
          <w:vertAlign w:val="subscript"/>
        </w:rPr>
        <w:t>3</w:t>
      </w:r>
      <w:r>
        <w:rPr>
          <w:rFonts w:hint="eastAsia" w:ascii="宋体" w:hAnsi="宋体" w:cs="宋体"/>
          <w:kern w:val="0"/>
        </w:rPr>
        <w:t>——</w:t>
      </w:r>
      <w:r>
        <w:rPr>
          <w:rFonts w:ascii="宋体" w:hAnsi="宋体"/>
          <w:kern w:val="0"/>
        </w:rPr>
        <w:t>成套设备</w:t>
      </w:r>
      <w:r>
        <w:rPr>
          <w:rFonts w:hint="eastAsia" w:ascii="Times New Roman" w:hAnsi="Times New Roman"/>
          <w:kern w:val="0"/>
        </w:rPr>
        <w:t>每班清洗泡发的干燥谷物</w:t>
      </w:r>
      <w:r>
        <w:rPr>
          <w:rFonts w:ascii="宋体" w:hAnsi="宋体"/>
          <w:kern w:val="0"/>
        </w:rPr>
        <w:t>质量，单位为千克（kg）</w:t>
      </w:r>
      <w:r>
        <w:rPr>
          <w:rFonts w:hint="eastAsia" w:ascii="宋体" w:hAnsi="宋体"/>
          <w:kern w:val="0"/>
        </w:rPr>
        <w:t>。</w:t>
      </w:r>
    </w:p>
    <w:bookmarkEnd w:id="755"/>
    <w:p w14:paraId="67D009B2">
      <w:pPr>
        <w:pStyle w:val="114"/>
        <w:numPr>
          <w:ilvl w:val="3"/>
          <w:numId w:val="38"/>
        </w:numPr>
        <w:spacing w:before="120" w:after="120"/>
        <w:outlineLvl w:val="2"/>
        <w:rPr>
          <w:rFonts w:hint="eastAsia" w:hAnsi="黑体" w:cs="宋体"/>
        </w:rPr>
      </w:pPr>
      <w:bookmarkStart w:id="759" w:name="_Toc204448640"/>
      <w:bookmarkStart w:id="760" w:name="_Toc208854246"/>
      <w:bookmarkStart w:id="761" w:name="_Toc17957"/>
      <w:r>
        <w:rPr>
          <w:rFonts w:hint="eastAsia" w:hAnsi="黑体" w:cs="宋体"/>
        </w:rPr>
        <w:t>使用有效度试验</w:t>
      </w:r>
      <w:bookmarkEnd w:id="759"/>
      <w:bookmarkEnd w:id="760"/>
      <w:bookmarkEnd w:id="761"/>
    </w:p>
    <w:p w14:paraId="3310EA60">
      <w:pPr>
        <w:pStyle w:val="255"/>
        <w:numPr>
          <w:ilvl w:val="0"/>
          <w:numId w:val="0"/>
        </w:numPr>
        <w:autoSpaceDE w:val="0"/>
        <w:autoSpaceDN w:val="0"/>
        <w:spacing w:beforeLines="0" w:afterLines="0"/>
        <w:ind w:firstLine="420" w:firstLineChars="200"/>
        <w:jc w:val="both"/>
        <w:outlineLvl w:val="9"/>
        <w:rPr>
          <w:rFonts w:hint="eastAsia" w:ascii="宋体" w:hAnsi="宋体" w:eastAsia="宋体"/>
          <w:kern w:val="2"/>
        </w:rPr>
      </w:pPr>
      <w:bookmarkStart w:id="762" w:name="_Hlk204353930"/>
      <w:r>
        <w:rPr>
          <w:rFonts w:hint="eastAsia" w:ascii="宋体" w:hAnsi="宋体" w:eastAsia="宋体" w:cs="宋体"/>
          <w:kern w:val="2"/>
        </w:rPr>
        <w:t>成套设备具备正常运行条件时进行使用有效度考核，考核时间不少于168 h，按公式（4）计算使用有效度。</w:t>
      </w:r>
    </w:p>
    <w:p w14:paraId="2AFC3041">
      <w:pPr>
        <w:pStyle w:val="241"/>
        <w:ind w:firstLine="0" w:firstLineChars="0"/>
        <w:jc w:val="center"/>
        <w:rPr>
          <w:rFonts w:hint="eastAsia"/>
        </w:rPr>
      </w:pPr>
      <w:r>
        <w:rPr>
          <w:rFonts w:hint="eastAsia" w:ascii="Times New Roman" w:eastAsiaTheme="minorEastAsia"/>
          <w:iCs/>
        </w:rPr>
        <w:t xml:space="preserve">                                    </w:t>
      </w:r>
      <m:oMath>
        <m:r>
          <m:rPr/>
          <w:rPr>
            <w:rFonts w:hint="eastAsia" w:ascii="Cambria Math" w:hAnsi="Cambria Math"/>
          </w:rPr>
          <m:t>K</m:t>
        </m:r>
        <m:r>
          <m:rPr>
            <m:sty m:val="p"/>
          </m:rPr>
          <w:rPr>
            <w:rFonts w:ascii="Cambria Math" w:hAnsi="Cambria Math" w:eastAsia="Cambria Math" w:cs="Cambria Math"/>
          </w:rPr>
          <m:t>=</m:t>
        </m:r>
        <m:f>
          <m:fPr>
            <m:ctrlPr>
              <w:rPr>
                <w:rFonts w:ascii="Cambria Math" w:hAnsi="Cambria Math" w:eastAsia="Cambria Math"/>
              </w:rPr>
            </m:ctrlPr>
          </m:fPr>
          <m:num>
            <m:r>
              <m:rPr/>
              <w:rPr>
                <w:rFonts w:hint="eastAsia" w:ascii="Cambria Math" w:hAnsi="Cambria Math"/>
                <w:kern w:val="2"/>
                <w:szCs w:val="21"/>
              </w:rPr>
              <m:t>T</m:t>
            </m:r>
            <m:r>
              <m:rPr>
                <m:sty m:val="p"/>
              </m:rPr>
              <w:rPr>
                <w:rFonts w:hint="eastAsia" w:ascii="Cambria Math" w:hAnsi="Cambria Math"/>
                <w:kern w:val="2"/>
                <w:szCs w:val="21"/>
                <w:vertAlign w:val="subscript"/>
              </w:rPr>
              <m:t>z</m:t>
            </m:r>
            <m:ctrlPr>
              <w:rPr>
                <w:rFonts w:ascii="Cambria Math" w:hAnsi="Cambria Math" w:eastAsia="Cambria Math"/>
              </w:rPr>
            </m:ctrlPr>
          </m:num>
          <m:den>
            <m:r>
              <m:rPr/>
              <w:rPr>
                <w:rFonts w:hint="eastAsia" w:ascii="Cambria Math" w:hAnsi="Cambria Math"/>
                <w:kern w:val="2"/>
                <w:szCs w:val="21"/>
              </w:rPr>
              <m:t>T</m:t>
            </m:r>
            <m:r>
              <m:rPr>
                <m:sty m:val="p"/>
              </m:rPr>
              <w:rPr>
                <w:rFonts w:hint="eastAsia" w:ascii="Cambria Math" w:hAnsi="Cambria Math"/>
                <w:kern w:val="2"/>
                <w:szCs w:val="21"/>
                <w:vertAlign w:val="subscript"/>
              </w:rPr>
              <m:t>z</m:t>
            </m:r>
            <m:r>
              <m:rPr>
                <m:sty m:val="p"/>
              </m:rPr>
              <w:rPr>
                <w:rFonts w:ascii="Cambria Math"/>
                <w:kern w:val="2"/>
                <w:szCs w:val="21"/>
                <w:vertAlign w:val="subscript"/>
              </w:rPr>
              <m:t>+</m:t>
            </m:r>
            <m:r>
              <m:rPr/>
              <w:rPr>
                <w:rFonts w:hint="eastAsia" w:ascii="Cambria Math" w:hAnsi="Cambria Math"/>
                <w:kern w:val="2"/>
                <w:szCs w:val="21"/>
              </w:rPr>
              <m:t>T</m:t>
            </m:r>
            <m:r>
              <m:rPr>
                <m:sty m:val="p"/>
              </m:rPr>
              <w:rPr>
                <w:rFonts w:hint="eastAsia" w:ascii="Cambria Math" w:hAnsi="Cambria Math"/>
                <w:kern w:val="2"/>
                <w:szCs w:val="21"/>
                <w:vertAlign w:val="subscript"/>
              </w:rPr>
              <m:t>g</m:t>
            </m:r>
            <m:ctrlPr>
              <w:rPr>
                <w:rFonts w:ascii="Cambria Math" w:hAnsi="Cambria Math" w:eastAsia="Cambria Math"/>
              </w:rPr>
            </m:ctrlPr>
          </m:den>
        </m:f>
        <m:r>
          <m:rPr/>
          <w:rPr>
            <w:rFonts w:hint="eastAsia" w:ascii="Cambria Math" w:hAnsi="Cambria Math" w:eastAsiaTheme="minorEastAsia"/>
          </w:rPr>
          <m:t>×</m:t>
        </m:r>
        <m:r>
          <m:rPr/>
          <w:rPr>
            <w:rFonts w:ascii="Cambria Math" w:hAnsi="Cambria Math" w:eastAsia="Cambria Math"/>
          </w:rPr>
          <m:t>1</m:t>
        </m:r>
        <m:r>
          <m:rPr/>
          <w:rPr>
            <w:rFonts w:ascii="Cambria Math" w:hAnsi="Cambria Math" w:eastAsiaTheme="minorEastAsia"/>
          </w:rPr>
          <m:t>00</m:t>
        </m:r>
        <m:r>
          <m:rPr>
            <m:nor/>
            <m:sty m:val="p"/>
          </m:rPr>
          <w:rPr>
            <w:rFonts w:ascii="Cambria Math" w:hAnsi="Cambria Math" w:eastAsiaTheme="majorEastAsia"/>
            <w:b w:val="0"/>
            <w:i w:val="0"/>
            <w:szCs w:val="21"/>
          </w:rPr>
          <m:t>%</m:t>
        </m:r>
      </m:oMath>
      <w:r>
        <w:rPr>
          <w:rFonts w:hint="eastAsia" w:ascii="Times New Roman"/>
          <w:szCs w:val="21"/>
        </w:rPr>
        <w:tab/>
      </w:r>
      <w:r>
        <w:rPr>
          <w:rFonts w:hint="eastAsia" w:ascii="Times New Roman"/>
          <w:szCs w:val="21"/>
        </w:rPr>
        <w:t>（</w:t>
      </w:r>
      <w:r>
        <w:rPr>
          <w:rFonts w:hint="eastAsia" w:ascii="Times New Roman" w:eastAsiaTheme="minorEastAsia"/>
          <w:szCs w:val="21"/>
        </w:rPr>
        <w:t>4</w:t>
      </w:r>
      <w:r>
        <w:rPr>
          <w:rFonts w:hint="eastAsia" w:ascii="Times New Roman"/>
          <w:szCs w:val="21"/>
        </w:rPr>
        <w:t>）</w:t>
      </w:r>
    </w:p>
    <w:p w14:paraId="27D3FD1D">
      <w:pPr>
        <w:pStyle w:val="241"/>
        <w:rPr>
          <w:rFonts w:hint="eastAsia" w:cs="宋体"/>
        </w:rPr>
      </w:pPr>
      <w:r>
        <w:rPr>
          <w:rFonts w:hint="eastAsia" w:cs="宋体"/>
        </w:rPr>
        <w:t>式中：</w:t>
      </w:r>
    </w:p>
    <w:p w14:paraId="0AA210AA">
      <w:pPr>
        <w:pStyle w:val="241"/>
        <w:rPr>
          <w:rFonts w:hint="eastAsia" w:cs="宋体"/>
          <w:kern w:val="2"/>
          <w:szCs w:val="21"/>
        </w:rPr>
      </w:pPr>
      <w:r>
        <w:rPr>
          <w:rFonts w:hint="eastAsia" w:ascii="Cambria Math" w:hAnsi="Cambria Math" w:cs="宋体"/>
          <w:i/>
          <w:szCs w:val="21"/>
        </w:rPr>
        <w:t>K</w:t>
      </w:r>
      <w:r>
        <w:rPr>
          <w:rFonts w:hint="eastAsia" w:cs="宋体"/>
        </w:rPr>
        <w:t xml:space="preserve"> ——成套设备使用有效度，</w:t>
      </w:r>
      <w:r>
        <w:rPr>
          <w:rFonts w:hint="eastAsia" w:cs="宋体"/>
          <w:kern w:val="2"/>
          <w:szCs w:val="21"/>
        </w:rPr>
        <w:t>%；</w:t>
      </w:r>
    </w:p>
    <w:p w14:paraId="0665F60B">
      <w:pPr>
        <w:pStyle w:val="241"/>
        <w:rPr>
          <w:rFonts w:hint="eastAsia" w:cs="宋体"/>
          <w:kern w:val="2"/>
          <w:szCs w:val="21"/>
        </w:rPr>
      </w:pPr>
      <w:r>
        <w:rPr>
          <w:rFonts w:hint="eastAsia" w:ascii="Cambria Math" w:hAnsi="Cambria Math" w:cs="宋体"/>
          <w:i/>
          <w:szCs w:val="21"/>
        </w:rPr>
        <w:t>T</w:t>
      </w:r>
      <w:r>
        <w:rPr>
          <w:rFonts w:hint="eastAsia" w:ascii="Cambria Math" w:hAnsi="Cambria Math" w:cs="宋体"/>
          <w:iCs/>
          <w:szCs w:val="21"/>
          <w:vertAlign w:val="subscript"/>
        </w:rPr>
        <w:t>z</w:t>
      </w:r>
      <w:r>
        <w:rPr>
          <w:rFonts w:hint="eastAsia" w:cs="宋体"/>
          <w:kern w:val="2"/>
          <w:szCs w:val="21"/>
        </w:rPr>
        <w:t>——考核期间成套设备正常运行时间，单位为小时（h）；</w:t>
      </w:r>
    </w:p>
    <w:p w14:paraId="109CC4E3">
      <w:pPr>
        <w:pStyle w:val="241"/>
        <w:rPr>
          <w:rFonts w:hint="eastAsia" w:cs="宋体"/>
          <w:szCs w:val="21"/>
        </w:rPr>
      </w:pPr>
      <w:r>
        <w:rPr>
          <w:rFonts w:hint="eastAsia" w:ascii="Cambria Math" w:hAnsi="Cambria Math" w:cs="宋体"/>
          <w:i/>
          <w:szCs w:val="21"/>
        </w:rPr>
        <w:t>T</w:t>
      </w:r>
      <w:r>
        <w:rPr>
          <w:rFonts w:hint="eastAsia" w:ascii="Cambria Math" w:hAnsi="Cambria Math" w:cs="宋体"/>
          <w:iCs/>
          <w:szCs w:val="21"/>
          <w:vertAlign w:val="subscript"/>
        </w:rPr>
        <w:t>g</w:t>
      </w:r>
      <w:r>
        <w:rPr>
          <w:rFonts w:hint="eastAsia" w:cs="宋体"/>
          <w:kern w:val="2"/>
          <w:szCs w:val="21"/>
        </w:rPr>
        <w:t>——考核期间成套设备故障时间，单位为小时（h）。</w:t>
      </w:r>
    </w:p>
    <w:bookmarkEnd w:id="762"/>
    <w:p w14:paraId="6939F77A">
      <w:pPr>
        <w:pStyle w:val="114"/>
        <w:numPr>
          <w:ilvl w:val="3"/>
          <w:numId w:val="38"/>
        </w:numPr>
        <w:spacing w:before="120" w:after="120"/>
        <w:outlineLvl w:val="2"/>
        <w:rPr>
          <w:rFonts w:hint="eastAsia" w:hAnsi="黑体" w:cs="宋体"/>
        </w:rPr>
      </w:pPr>
      <w:bookmarkStart w:id="763" w:name="_Toc204448641"/>
      <w:bookmarkStart w:id="764" w:name="_Toc20298"/>
      <w:bookmarkStart w:id="765" w:name="_Toc208854247"/>
      <w:r>
        <w:rPr>
          <w:rFonts w:hint="eastAsia" w:hAnsi="黑体" w:cs="宋体"/>
        </w:rPr>
        <w:t>工作噪声检测</w:t>
      </w:r>
      <w:bookmarkEnd w:id="763"/>
      <w:bookmarkEnd w:id="764"/>
      <w:bookmarkEnd w:id="765"/>
    </w:p>
    <w:p w14:paraId="6FD7FA4E">
      <w:pPr>
        <w:pStyle w:val="255"/>
        <w:numPr>
          <w:ilvl w:val="0"/>
          <w:numId w:val="0"/>
        </w:numPr>
        <w:autoSpaceDE w:val="0"/>
        <w:autoSpaceDN w:val="0"/>
        <w:spacing w:beforeLines="0" w:afterLines="0"/>
        <w:ind w:firstLine="420" w:firstLineChars="200"/>
        <w:jc w:val="both"/>
        <w:outlineLvl w:val="9"/>
        <w:rPr>
          <w:rFonts w:hint="eastAsia" w:ascii="宋体" w:hAnsi="宋体" w:eastAsia="宋体" w:cs="宋体"/>
          <w:kern w:val="2"/>
        </w:rPr>
      </w:pPr>
      <w:bookmarkStart w:id="766" w:name="_Hlk204354818"/>
      <w:r>
        <w:rPr>
          <w:rFonts w:hint="eastAsia" w:ascii="宋体" w:hAnsi="宋体" w:eastAsia="宋体"/>
          <w:color w:val="000000"/>
          <w:kern w:val="2"/>
        </w:rPr>
        <w:t>成套设备正常工作时，按GB/T 3768规定的方法进行噪声测量</w:t>
      </w:r>
      <w:bookmarkEnd w:id="766"/>
      <w:r>
        <w:rPr>
          <w:rFonts w:hint="eastAsia" w:ascii="宋体" w:hAnsi="宋体" w:eastAsia="宋体"/>
          <w:color w:val="000000"/>
          <w:kern w:val="2"/>
        </w:rPr>
        <w:t>。</w:t>
      </w:r>
    </w:p>
    <w:p w14:paraId="4BAA6D42">
      <w:pPr>
        <w:pStyle w:val="268"/>
        <w:numPr>
          <w:ilvl w:val="1"/>
          <w:numId w:val="35"/>
        </w:numPr>
        <w:spacing w:before="240" w:after="240" w:line="240" w:lineRule="auto"/>
        <w:jc w:val="both"/>
        <w:rPr>
          <w:rFonts w:hint="eastAsia" w:hAnsi="黑体" w:cs="宋体"/>
          <w:kern w:val="0"/>
        </w:rPr>
      </w:pPr>
      <w:bookmarkStart w:id="767" w:name="_Toc77186024"/>
      <w:bookmarkStart w:id="768" w:name="_Toc85527729"/>
      <w:bookmarkStart w:id="769" w:name="_Toc2509"/>
      <w:bookmarkStart w:id="770" w:name="_Toc20245"/>
      <w:bookmarkStart w:id="771" w:name="_Toc76902183"/>
      <w:bookmarkStart w:id="772" w:name="_Toc196411996"/>
      <w:bookmarkStart w:id="773" w:name="_Toc76532491"/>
      <w:bookmarkStart w:id="774" w:name="_Toc26674"/>
      <w:bookmarkStart w:id="775" w:name="_Toc77186083"/>
      <w:bookmarkStart w:id="776" w:name="_Toc76532370"/>
      <w:bookmarkStart w:id="777" w:name="_Toc85527788"/>
      <w:bookmarkStart w:id="778" w:name="_Toc208854248"/>
      <w:bookmarkStart w:id="779" w:name="_Toc25488"/>
      <w:bookmarkStart w:id="780" w:name="_Toc19097"/>
      <w:bookmarkStart w:id="781" w:name="_Toc5766"/>
      <w:bookmarkStart w:id="782" w:name="_Toc94259995"/>
      <w:bookmarkStart w:id="783" w:name="_Hlk107127725"/>
      <w:r>
        <w:rPr>
          <w:rFonts w:hint="eastAsia" w:hAnsi="黑体" w:cs="宋体"/>
          <w:kern w:val="0"/>
        </w:rPr>
        <w:t>检验规则</w:t>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bookmarkEnd w:id="783"/>
    <w:p w14:paraId="642E5E9B">
      <w:pPr>
        <w:pStyle w:val="268"/>
        <w:numPr>
          <w:ilvl w:val="2"/>
          <w:numId w:val="35"/>
        </w:numPr>
        <w:spacing w:before="120" w:beforeLines="50" w:after="120" w:afterLines="50" w:line="240" w:lineRule="auto"/>
        <w:jc w:val="both"/>
        <w:outlineLvl w:val="1"/>
        <w:rPr>
          <w:rFonts w:hint="eastAsia"/>
        </w:rPr>
      </w:pPr>
      <w:bookmarkStart w:id="784" w:name="_Toc208854249"/>
      <w:bookmarkStart w:id="785" w:name="_Toc15319"/>
      <w:bookmarkStart w:id="786" w:name="_Toc2916"/>
      <w:bookmarkStart w:id="787" w:name="_Toc17114"/>
      <w:bookmarkStart w:id="788" w:name="_Toc25662"/>
      <w:bookmarkStart w:id="789" w:name="_Toc2812"/>
      <w:bookmarkStart w:id="790" w:name="_Toc180317991"/>
      <w:r>
        <w:rPr>
          <w:rFonts w:hint="eastAsia" w:hAnsi="黑体" w:cs="宋体"/>
          <w:kern w:val="0"/>
        </w:rPr>
        <w:t>检验</w:t>
      </w:r>
      <w:r>
        <w:rPr>
          <w:rFonts w:hint="eastAsia"/>
        </w:rPr>
        <w:t>类型</w:t>
      </w:r>
      <w:bookmarkEnd w:id="784"/>
      <w:bookmarkEnd w:id="785"/>
      <w:bookmarkEnd w:id="786"/>
      <w:bookmarkEnd w:id="787"/>
      <w:bookmarkEnd w:id="788"/>
      <w:bookmarkEnd w:id="789"/>
    </w:p>
    <w:p w14:paraId="61F05425">
      <w:pPr>
        <w:pStyle w:val="65"/>
        <w:autoSpaceDE/>
        <w:autoSpaceDN/>
        <w:ind w:firstLine="420"/>
        <w:rPr>
          <w:rFonts w:hint="eastAsia" w:ascii="Times New Roman" w:hAnsi="宋体"/>
        </w:rPr>
      </w:pPr>
      <w:r>
        <w:rPr>
          <w:rFonts w:hint="eastAsia" w:ascii="Times New Roman" w:hAnsi="宋体"/>
        </w:rPr>
        <w:t>检验类型包括出厂检验、安装和调试检验及型式检验。</w:t>
      </w:r>
    </w:p>
    <w:p w14:paraId="5BD90899">
      <w:pPr>
        <w:pStyle w:val="268"/>
        <w:numPr>
          <w:ilvl w:val="2"/>
          <w:numId w:val="35"/>
        </w:numPr>
        <w:spacing w:before="120" w:beforeLines="50" w:after="120" w:afterLines="50" w:line="240" w:lineRule="auto"/>
        <w:jc w:val="both"/>
        <w:outlineLvl w:val="1"/>
        <w:rPr>
          <w:rFonts w:hint="eastAsia"/>
        </w:rPr>
      </w:pPr>
      <w:bookmarkStart w:id="791" w:name="_Toc208854250"/>
      <w:bookmarkStart w:id="792" w:name="_Toc31901"/>
      <w:bookmarkStart w:id="793" w:name="_Toc1925"/>
      <w:bookmarkStart w:id="794" w:name="_Toc25744"/>
      <w:bookmarkStart w:id="795" w:name="_Toc6765"/>
      <w:bookmarkStart w:id="796" w:name="_Toc22270"/>
      <w:bookmarkStart w:id="797" w:name="_Toc104469593"/>
      <w:bookmarkStart w:id="798" w:name="_Toc196411998"/>
      <w:bookmarkStart w:id="799" w:name="_Toc22888935"/>
      <w:bookmarkStart w:id="800" w:name="_Toc64481504"/>
      <w:bookmarkStart w:id="801" w:name="_Toc498677555"/>
      <w:bookmarkStart w:id="802" w:name="_Toc23502"/>
      <w:bookmarkStart w:id="803" w:name="_Hlk107127757"/>
      <w:bookmarkStart w:id="804" w:name="_Toc21110928"/>
      <w:r>
        <w:rPr>
          <w:rFonts w:hint="eastAsia"/>
        </w:rPr>
        <w:t>出厂检验</w:t>
      </w:r>
      <w:bookmarkEnd w:id="791"/>
      <w:bookmarkEnd w:id="792"/>
      <w:bookmarkEnd w:id="793"/>
      <w:bookmarkEnd w:id="794"/>
      <w:bookmarkEnd w:id="795"/>
      <w:bookmarkEnd w:id="796"/>
    </w:p>
    <w:bookmarkEnd w:id="797"/>
    <w:bookmarkEnd w:id="798"/>
    <w:bookmarkEnd w:id="799"/>
    <w:bookmarkEnd w:id="800"/>
    <w:bookmarkEnd w:id="801"/>
    <w:bookmarkEnd w:id="802"/>
    <w:bookmarkEnd w:id="803"/>
    <w:bookmarkEnd w:id="804"/>
    <w:p w14:paraId="302BCAC5">
      <w:pPr>
        <w:pStyle w:val="268"/>
        <w:numPr>
          <w:ilvl w:val="3"/>
          <w:numId w:val="35"/>
        </w:numPr>
        <w:spacing w:before="0" w:beforeLines="0" w:after="0" w:afterLines="0" w:line="240" w:lineRule="auto"/>
        <w:jc w:val="both"/>
        <w:outlineLvl w:val="2"/>
        <w:rPr>
          <w:rFonts w:hint="eastAsia" w:ascii="宋体" w:hAnsi="宋体" w:eastAsia="宋体" w:cs="宋体"/>
        </w:rPr>
      </w:pPr>
      <w:bookmarkStart w:id="805" w:name="_Toc198211263"/>
      <w:bookmarkStart w:id="806" w:name="_Toc204448645"/>
      <w:bookmarkStart w:id="807" w:name="_Toc208854251"/>
      <w:r>
        <w:rPr>
          <w:rFonts w:hint="eastAsia" w:ascii="宋体" w:hAnsi="宋体" w:eastAsia="宋体" w:cs="宋体"/>
        </w:rPr>
        <w:t>检验</w:t>
      </w:r>
      <w:r>
        <w:rPr>
          <w:rFonts w:hint="eastAsia" w:ascii="宋体" w:hAnsi="宋体" w:eastAsia="宋体" w:cs="宋体"/>
          <w:color w:val="000000" w:themeColor="text1"/>
          <w14:textFill>
            <w14:solidFill>
              <w14:schemeClr w14:val="tx1"/>
            </w14:solidFill>
          </w14:textFill>
        </w:rPr>
        <w:t>项目：每台设备均应进行出厂检验，检验项目见表2</w:t>
      </w:r>
      <w:bookmarkEnd w:id="805"/>
      <w:r>
        <w:rPr>
          <w:rFonts w:hint="eastAsia" w:ascii="宋体" w:hAnsi="宋体" w:eastAsia="宋体" w:cs="宋体"/>
          <w:color w:val="000000" w:themeColor="text1"/>
          <w14:textFill>
            <w14:solidFill>
              <w14:schemeClr w14:val="tx1"/>
            </w14:solidFill>
          </w14:textFill>
        </w:rPr>
        <w:t>。</w:t>
      </w:r>
      <w:bookmarkEnd w:id="806"/>
      <w:bookmarkEnd w:id="807"/>
    </w:p>
    <w:p w14:paraId="1B0EC4B4">
      <w:pPr>
        <w:pStyle w:val="13"/>
        <w:spacing w:before="120" w:beforeLines="50" w:after="120" w:afterLines="50" w:line="240" w:lineRule="auto"/>
        <w:jc w:val="center"/>
        <w:rPr>
          <w:rFonts w:hint="eastAsia" w:ascii="黑体" w:hAnsi="黑体" w:cs="黑体"/>
          <w:sz w:val="21"/>
          <w:szCs w:val="21"/>
        </w:rPr>
      </w:pPr>
      <w:r>
        <w:rPr>
          <w:rFonts w:hint="eastAsia" w:ascii="黑体" w:hAnsi="黑体" w:cs="黑体"/>
          <w:sz w:val="21"/>
          <w:szCs w:val="21"/>
        </w:rPr>
        <w:t xml:space="preserve">表 </w:t>
      </w:r>
      <w:r>
        <w:rPr>
          <w:rFonts w:hint="eastAsia" w:ascii="黑体" w:hAnsi="黑体" w:cs="黑体"/>
          <w:sz w:val="21"/>
          <w:szCs w:val="21"/>
        </w:rPr>
        <w:fldChar w:fldCharType="begin"/>
      </w:r>
      <w:r>
        <w:rPr>
          <w:rFonts w:hint="eastAsia" w:ascii="黑体" w:hAnsi="黑体" w:cs="黑体"/>
          <w:sz w:val="21"/>
          <w:szCs w:val="21"/>
        </w:rPr>
        <w:instrText xml:space="preserve"> SEQ 表 \* ARABIC </w:instrText>
      </w:r>
      <w:r>
        <w:rPr>
          <w:rFonts w:hint="eastAsia" w:ascii="黑体" w:hAnsi="黑体" w:cs="黑体"/>
          <w:sz w:val="21"/>
          <w:szCs w:val="21"/>
        </w:rPr>
        <w:fldChar w:fldCharType="separate"/>
      </w:r>
      <w:r>
        <w:rPr>
          <w:rFonts w:hint="eastAsia" w:ascii="黑体" w:hAnsi="黑体" w:cs="黑体"/>
          <w:sz w:val="21"/>
          <w:szCs w:val="21"/>
        </w:rPr>
        <w:t>2</w:t>
      </w:r>
      <w:r>
        <w:rPr>
          <w:rFonts w:hint="eastAsia" w:ascii="黑体" w:hAnsi="黑体" w:cs="黑体"/>
          <w:sz w:val="21"/>
          <w:szCs w:val="21"/>
        </w:rPr>
        <w:fldChar w:fldCharType="end"/>
      </w:r>
      <w:bookmarkStart w:id="808" w:name="_Toc11801"/>
      <w:bookmarkStart w:id="809" w:name="_Toc18894"/>
      <w:bookmarkStart w:id="810" w:name="_Toc30100"/>
      <w:bookmarkStart w:id="811" w:name="_Toc19711"/>
      <w:bookmarkStart w:id="812" w:name="_Toc5679"/>
      <w:bookmarkStart w:id="813" w:name="_Toc1840"/>
      <w:r>
        <w:rPr>
          <w:rFonts w:hint="eastAsia" w:ascii="黑体" w:hAnsi="黑体" w:cs="黑体"/>
          <w:sz w:val="21"/>
          <w:szCs w:val="21"/>
        </w:rPr>
        <w:t xml:space="preserve"> 检查项目</w:t>
      </w:r>
      <w:bookmarkEnd w:id="808"/>
      <w:bookmarkEnd w:id="809"/>
      <w:bookmarkEnd w:id="810"/>
      <w:bookmarkEnd w:id="811"/>
      <w:bookmarkEnd w:id="812"/>
      <w:bookmarkEnd w:id="813"/>
    </w:p>
    <w:bookmarkEnd w:id="790"/>
    <w:tbl>
      <w:tblPr>
        <w:tblStyle w:val="33"/>
        <w:tblpPr w:leftFromText="180" w:rightFromText="180" w:vertAnchor="text" w:horzAnchor="page" w:tblpX="2212" w:tblpY="207"/>
        <w:tblOverlap w:val="never"/>
        <w:tblW w:w="44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857"/>
        <w:gridCol w:w="1134"/>
        <w:gridCol w:w="1144"/>
        <w:gridCol w:w="1153"/>
        <w:gridCol w:w="1144"/>
        <w:gridCol w:w="1158"/>
      </w:tblGrid>
      <w:tr w14:paraId="5001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Merge w:val="restart"/>
            <w:vAlign w:val="center"/>
          </w:tcPr>
          <w:p w14:paraId="209CFEC4">
            <w:pPr>
              <w:spacing w:line="240" w:lineRule="auto"/>
              <w:jc w:val="center"/>
              <w:rPr>
                <w:rFonts w:hint="eastAsia" w:ascii="宋体" w:hAnsi="宋体" w:cs="黑体"/>
                <w:bCs/>
                <w:sz w:val="18"/>
                <w:szCs w:val="18"/>
              </w:rPr>
            </w:pPr>
            <w:bookmarkStart w:id="814" w:name="_Hlk107041544"/>
            <w:bookmarkStart w:id="815" w:name="_Toc196412748"/>
            <w:bookmarkStart w:id="816" w:name="_Toc13819"/>
            <w:bookmarkStart w:id="817" w:name="_Toc4024"/>
            <w:r>
              <w:rPr>
                <w:rFonts w:hint="eastAsia" w:ascii="宋体" w:hAnsi="宋体" w:cs="黑体"/>
                <w:bCs/>
                <w:sz w:val="18"/>
                <w:szCs w:val="18"/>
              </w:rPr>
              <w:t>序号</w:t>
            </w:r>
          </w:p>
        </w:tc>
        <w:tc>
          <w:tcPr>
            <w:tcW w:w="1127" w:type="pct"/>
            <w:vMerge w:val="restart"/>
            <w:vAlign w:val="center"/>
          </w:tcPr>
          <w:p w14:paraId="41E662B8">
            <w:pPr>
              <w:spacing w:line="240" w:lineRule="auto"/>
              <w:jc w:val="center"/>
              <w:rPr>
                <w:rFonts w:hint="eastAsia" w:ascii="宋体" w:hAnsi="宋体" w:cs="黑体"/>
                <w:bCs/>
                <w:sz w:val="18"/>
                <w:szCs w:val="18"/>
              </w:rPr>
            </w:pPr>
            <w:r>
              <w:rPr>
                <w:rFonts w:hint="eastAsia" w:ascii="宋体" w:hAnsi="宋体" w:cs="黑体"/>
                <w:bCs/>
                <w:sz w:val="18"/>
                <w:szCs w:val="18"/>
              </w:rPr>
              <w:t>检验项目</w:t>
            </w:r>
          </w:p>
        </w:tc>
        <w:tc>
          <w:tcPr>
            <w:tcW w:w="2082" w:type="pct"/>
            <w:gridSpan w:val="3"/>
            <w:vAlign w:val="center"/>
          </w:tcPr>
          <w:p w14:paraId="3E660B8E">
            <w:pPr>
              <w:spacing w:line="240" w:lineRule="auto"/>
              <w:jc w:val="center"/>
              <w:rPr>
                <w:rFonts w:hint="eastAsia" w:ascii="宋体" w:hAnsi="宋体" w:cs="黑体"/>
                <w:bCs/>
                <w:sz w:val="18"/>
                <w:szCs w:val="18"/>
              </w:rPr>
            </w:pPr>
            <w:r>
              <w:rPr>
                <w:rFonts w:hint="eastAsia" w:ascii="宋体" w:hAnsi="宋体" w:cs="黑体"/>
                <w:bCs/>
                <w:sz w:val="18"/>
                <w:szCs w:val="18"/>
              </w:rPr>
              <w:t>检验类别</w:t>
            </w:r>
          </w:p>
        </w:tc>
        <w:tc>
          <w:tcPr>
            <w:tcW w:w="694" w:type="pct"/>
            <w:vMerge w:val="restart"/>
            <w:vAlign w:val="center"/>
          </w:tcPr>
          <w:p w14:paraId="6BD610D6">
            <w:pPr>
              <w:spacing w:line="240" w:lineRule="auto"/>
              <w:jc w:val="center"/>
              <w:rPr>
                <w:rFonts w:hint="eastAsia" w:ascii="宋体" w:hAnsi="宋体" w:cs="黑体"/>
                <w:bCs/>
                <w:sz w:val="18"/>
                <w:szCs w:val="18"/>
              </w:rPr>
            </w:pPr>
            <w:r>
              <w:rPr>
                <w:rFonts w:hint="eastAsia" w:ascii="宋体" w:hAnsi="宋体" w:cs="黑体"/>
                <w:bCs/>
                <w:sz w:val="18"/>
                <w:szCs w:val="18"/>
              </w:rPr>
              <w:t>对应要求</w:t>
            </w:r>
          </w:p>
        </w:tc>
        <w:tc>
          <w:tcPr>
            <w:tcW w:w="703" w:type="pct"/>
            <w:vMerge w:val="restart"/>
            <w:vAlign w:val="center"/>
          </w:tcPr>
          <w:p w14:paraId="0E50E22C">
            <w:pPr>
              <w:spacing w:line="240" w:lineRule="auto"/>
              <w:jc w:val="center"/>
              <w:rPr>
                <w:rFonts w:hint="eastAsia" w:ascii="宋体" w:hAnsi="宋体" w:cs="黑体"/>
                <w:bCs/>
                <w:sz w:val="18"/>
                <w:szCs w:val="18"/>
              </w:rPr>
            </w:pPr>
            <w:r>
              <w:rPr>
                <w:rFonts w:hint="eastAsia" w:ascii="宋体" w:hAnsi="宋体" w:cs="黑体"/>
                <w:bCs/>
                <w:sz w:val="18"/>
                <w:szCs w:val="18"/>
              </w:rPr>
              <w:t>检验方法</w:t>
            </w:r>
          </w:p>
        </w:tc>
      </w:tr>
      <w:tr w14:paraId="37845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Merge w:val="continue"/>
            <w:vAlign w:val="center"/>
          </w:tcPr>
          <w:p w14:paraId="628C9B4B">
            <w:pPr>
              <w:spacing w:line="240" w:lineRule="auto"/>
              <w:jc w:val="center"/>
              <w:rPr>
                <w:rFonts w:hint="eastAsia" w:ascii="宋体" w:hAnsi="宋体" w:cs="黑体"/>
                <w:bCs/>
                <w:sz w:val="18"/>
                <w:szCs w:val="18"/>
              </w:rPr>
            </w:pPr>
          </w:p>
        </w:tc>
        <w:tc>
          <w:tcPr>
            <w:tcW w:w="1127" w:type="pct"/>
            <w:vMerge w:val="continue"/>
            <w:vAlign w:val="center"/>
          </w:tcPr>
          <w:p w14:paraId="472E79B7">
            <w:pPr>
              <w:spacing w:line="240" w:lineRule="auto"/>
              <w:jc w:val="center"/>
              <w:rPr>
                <w:rFonts w:hint="eastAsia" w:ascii="宋体" w:hAnsi="宋体" w:cs="黑体"/>
                <w:bCs/>
                <w:sz w:val="18"/>
                <w:szCs w:val="18"/>
              </w:rPr>
            </w:pPr>
          </w:p>
        </w:tc>
        <w:tc>
          <w:tcPr>
            <w:tcW w:w="688" w:type="pct"/>
            <w:vAlign w:val="center"/>
          </w:tcPr>
          <w:p w14:paraId="5D0049C7">
            <w:pPr>
              <w:spacing w:line="240" w:lineRule="auto"/>
              <w:jc w:val="center"/>
              <w:rPr>
                <w:rFonts w:hint="eastAsia" w:ascii="宋体" w:hAnsi="宋体" w:cs="黑体"/>
                <w:bCs/>
                <w:sz w:val="18"/>
                <w:szCs w:val="18"/>
              </w:rPr>
            </w:pPr>
            <w:r>
              <w:rPr>
                <w:rFonts w:hint="eastAsia" w:ascii="宋体" w:hAnsi="宋体" w:cs="黑体"/>
                <w:bCs/>
                <w:sz w:val="18"/>
                <w:szCs w:val="18"/>
              </w:rPr>
              <w:t>出厂检验</w:t>
            </w:r>
          </w:p>
        </w:tc>
        <w:tc>
          <w:tcPr>
            <w:tcW w:w="694" w:type="pct"/>
            <w:vAlign w:val="center"/>
          </w:tcPr>
          <w:p w14:paraId="6F1B5180">
            <w:pPr>
              <w:spacing w:line="240" w:lineRule="auto"/>
              <w:jc w:val="center"/>
              <w:rPr>
                <w:rFonts w:hint="eastAsia" w:ascii="宋体" w:hAnsi="宋体" w:cs="黑体"/>
                <w:bCs/>
                <w:sz w:val="18"/>
                <w:szCs w:val="18"/>
              </w:rPr>
            </w:pPr>
            <w:r>
              <w:rPr>
                <w:rFonts w:hint="eastAsia" w:ascii="宋体" w:hAnsi="宋体" w:cs="黑体"/>
                <w:bCs/>
                <w:sz w:val="18"/>
                <w:szCs w:val="18"/>
              </w:rPr>
              <w:t>安装和调试检验</w:t>
            </w:r>
          </w:p>
        </w:tc>
        <w:tc>
          <w:tcPr>
            <w:tcW w:w="700" w:type="pct"/>
            <w:vAlign w:val="center"/>
          </w:tcPr>
          <w:p w14:paraId="06127F29">
            <w:pPr>
              <w:spacing w:line="240" w:lineRule="auto"/>
              <w:jc w:val="center"/>
              <w:rPr>
                <w:rFonts w:hint="eastAsia" w:ascii="宋体" w:hAnsi="宋体" w:cs="黑体"/>
                <w:bCs/>
                <w:sz w:val="18"/>
                <w:szCs w:val="18"/>
              </w:rPr>
            </w:pPr>
            <w:r>
              <w:rPr>
                <w:rFonts w:hint="eastAsia" w:ascii="宋体" w:hAnsi="宋体" w:cs="黑体"/>
                <w:bCs/>
                <w:sz w:val="18"/>
                <w:szCs w:val="18"/>
              </w:rPr>
              <w:t>型式检验</w:t>
            </w:r>
          </w:p>
        </w:tc>
        <w:tc>
          <w:tcPr>
            <w:tcW w:w="694" w:type="pct"/>
            <w:vMerge w:val="continue"/>
          </w:tcPr>
          <w:p w14:paraId="0EA4EB7D">
            <w:pPr>
              <w:spacing w:line="240" w:lineRule="auto"/>
              <w:jc w:val="center"/>
              <w:rPr>
                <w:rFonts w:hint="eastAsia" w:ascii="宋体" w:hAnsi="宋体" w:cs="黑体"/>
                <w:bCs/>
                <w:sz w:val="18"/>
                <w:szCs w:val="18"/>
              </w:rPr>
            </w:pPr>
          </w:p>
        </w:tc>
        <w:tc>
          <w:tcPr>
            <w:tcW w:w="703" w:type="pct"/>
            <w:vMerge w:val="continue"/>
          </w:tcPr>
          <w:p w14:paraId="67EAD899">
            <w:pPr>
              <w:spacing w:line="240" w:lineRule="auto"/>
              <w:jc w:val="center"/>
              <w:rPr>
                <w:rFonts w:hint="eastAsia" w:ascii="宋体" w:hAnsi="宋体" w:cs="黑体"/>
                <w:bCs/>
                <w:sz w:val="18"/>
                <w:szCs w:val="18"/>
              </w:rPr>
            </w:pPr>
          </w:p>
        </w:tc>
      </w:tr>
      <w:tr w14:paraId="7AD2F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Align w:val="center"/>
          </w:tcPr>
          <w:p w14:paraId="6BE2F177">
            <w:pPr>
              <w:spacing w:line="240" w:lineRule="auto"/>
              <w:jc w:val="center"/>
              <w:rPr>
                <w:rFonts w:hint="eastAsia" w:ascii="宋体" w:hAnsi="宋体" w:cs="宋体"/>
                <w:bCs/>
                <w:sz w:val="18"/>
                <w:szCs w:val="18"/>
              </w:rPr>
            </w:pPr>
            <w:r>
              <w:rPr>
                <w:rFonts w:hint="eastAsia" w:ascii="宋体" w:hAnsi="宋体" w:cs="宋体"/>
                <w:bCs/>
                <w:sz w:val="18"/>
                <w:szCs w:val="18"/>
              </w:rPr>
              <w:t>1</w:t>
            </w:r>
          </w:p>
        </w:tc>
        <w:tc>
          <w:tcPr>
            <w:tcW w:w="1127" w:type="pct"/>
            <w:vAlign w:val="center"/>
          </w:tcPr>
          <w:p w14:paraId="7C566607">
            <w:pPr>
              <w:spacing w:line="240" w:lineRule="auto"/>
              <w:jc w:val="center"/>
              <w:rPr>
                <w:rFonts w:hint="eastAsia" w:ascii="宋体" w:hAnsi="宋体" w:cs="宋体"/>
                <w:bCs/>
                <w:sz w:val="18"/>
                <w:szCs w:val="18"/>
              </w:rPr>
            </w:pPr>
            <w:r>
              <w:rPr>
                <w:rFonts w:hint="eastAsia" w:ascii="宋体" w:hAnsi="宋体" w:cs="宋体"/>
                <w:bCs/>
                <w:sz w:val="18"/>
                <w:szCs w:val="18"/>
              </w:rPr>
              <w:t>材料要求检查</w:t>
            </w:r>
          </w:p>
        </w:tc>
        <w:tc>
          <w:tcPr>
            <w:tcW w:w="688" w:type="pct"/>
            <w:vAlign w:val="center"/>
          </w:tcPr>
          <w:p w14:paraId="199507DE">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055B83BA">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700" w:type="pct"/>
            <w:vAlign w:val="center"/>
          </w:tcPr>
          <w:p w14:paraId="22D93344">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01907021">
            <w:pPr>
              <w:spacing w:line="240" w:lineRule="auto"/>
              <w:jc w:val="center"/>
              <w:rPr>
                <w:rFonts w:hint="eastAsia" w:ascii="宋体" w:hAnsi="宋体" w:cs="宋体"/>
                <w:bCs/>
                <w:sz w:val="18"/>
                <w:szCs w:val="18"/>
              </w:rPr>
            </w:pPr>
            <w:r>
              <w:rPr>
                <w:rFonts w:hint="eastAsia" w:ascii="宋体" w:hAnsi="宋体" w:cs="宋体"/>
                <w:bCs/>
                <w:sz w:val="18"/>
                <w:szCs w:val="18"/>
              </w:rPr>
              <w:t>5.1</w:t>
            </w:r>
          </w:p>
        </w:tc>
        <w:tc>
          <w:tcPr>
            <w:tcW w:w="703" w:type="pct"/>
            <w:vAlign w:val="center"/>
          </w:tcPr>
          <w:p w14:paraId="1D2A4CDA">
            <w:pPr>
              <w:spacing w:line="240" w:lineRule="auto"/>
              <w:jc w:val="center"/>
              <w:rPr>
                <w:rFonts w:hint="eastAsia" w:ascii="宋体" w:hAnsi="宋体" w:cs="宋体"/>
                <w:bCs/>
                <w:sz w:val="18"/>
                <w:szCs w:val="18"/>
              </w:rPr>
            </w:pPr>
            <w:r>
              <w:rPr>
                <w:rFonts w:hint="eastAsia" w:ascii="宋体" w:hAnsi="宋体" w:cs="宋体"/>
                <w:bCs/>
                <w:sz w:val="18"/>
                <w:szCs w:val="18"/>
              </w:rPr>
              <w:t>6.2</w:t>
            </w:r>
          </w:p>
        </w:tc>
      </w:tr>
      <w:tr w14:paraId="36996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Align w:val="center"/>
          </w:tcPr>
          <w:p w14:paraId="0A51FC63">
            <w:pPr>
              <w:spacing w:line="240" w:lineRule="auto"/>
              <w:jc w:val="center"/>
              <w:rPr>
                <w:rFonts w:hint="eastAsia" w:ascii="宋体" w:hAnsi="宋体" w:cs="宋体"/>
                <w:bCs/>
                <w:sz w:val="18"/>
                <w:szCs w:val="18"/>
              </w:rPr>
            </w:pPr>
            <w:r>
              <w:rPr>
                <w:rFonts w:hint="eastAsia" w:ascii="宋体" w:hAnsi="宋体" w:cs="宋体"/>
                <w:bCs/>
                <w:sz w:val="18"/>
                <w:szCs w:val="18"/>
              </w:rPr>
              <w:t>2</w:t>
            </w:r>
          </w:p>
        </w:tc>
        <w:tc>
          <w:tcPr>
            <w:tcW w:w="1127" w:type="pct"/>
            <w:vAlign w:val="center"/>
          </w:tcPr>
          <w:p w14:paraId="064C13CC">
            <w:pPr>
              <w:spacing w:line="240" w:lineRule="auto"/>
              <w:jc w:val="center"/>
              <w:rPr>
                <w:rFonts w:hint="eastAsia" w:ascii="宋体" w:hAnsi="宋体" w:cs="宋体"/>
                <w:bCs/>
                <w:sz w:val="18"/>
                <w:szCs w:val="18"/>
              </w:rPr>
            </w:pPr>
            <w:r>
              <w:rPr>
                <w:rFonts w:hint="eastAsia" w:ascii="宋体" w:hAnsi="宋体" w:cs="宋体"/>
                <w:bCs/>
                <w:sz w:val="18"/>
                <w:szCs w:val="18"/>
              </w:rPr>
              <w:t>加工要求检查</w:t>
            </w:r>
          </w:p>
        </w:tc>
        <w:tc>
          <w:tcPr>
            <w:tcW w:w="688" w:type="pct"/>
            <w:vAlign w:val="center"/>
          </w:tcPr>
          <w:p w14:paraId="2FA02492">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2DA7B601">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700" w:type="pct"/>
            <w:vAlign w:val="center"/>
          </w:tcPr>
          <w:p w14:paraId="15FE0A59">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4DDFC4D5">
            <w:pPr>
              <w:spacing w:line="240" w:lineRule="auto"/>
              <w:jc w:val="center"/>
              <w:rPr>
                <w:rFonts w:hint="eastAsia" w:ascii="宋体" w:hAnsi="宋体" w:cs="宋体"/>
                <w:bCs/>
                <w:sz w:val="18"/>
                <w:szCs w:val="18"/>
              </w:rPr>
            </w:pPr>
            <w:r>
              <w:rPr>
                <w:rFonts w:hint="eastAsia" w:ascii="宋体" w:hAnsi="宋体" w:cs="宋体"/>
                <w:bCs/>
                <w:sz w:val="18"/>
                <w:szCs w:val="18"/>
              </w:rPr>
              <w:t>5.2</w:t>
            </w:r>
          </w:p>
        </w:tc>
        <w:tc>
          <w:tcPr>
            <w:tcW w:w="703" w:type="pct"/>
            <w:vAlign w:val="center"/>
          </w:tcPr>
          <w:p w14:paraId="1C8F0AAE">
            <w:pPr>
              <w:spacing w:line="240" w:lineRule="auto"/>
              <w:jc w:val="center"/>
              <w:rPr>
                <w:rFonts w:hint="eastAsia" w:ascii="宋体" w:hAnsi="宋体" w:cs="宋体"/>
                <w:bCs/>
                <w:sz w:val="18"/>
                <w:szCs w:val="18"/>
              </w:rPr>
            </w:pPr>
            <w:r>
              <w:rPr>
                <w:rFonts w:hint="eastAsia" w:ascii="宋体" w:hAnsi="宋体" w:cs="宋体"/>
                <w:bCs/>
                <w:sz w:val="18"/>
                <w:szCs w:val="18"/>
              </w:rPr>
              <w:t>6.3</w:t>
            </w:r>
          </w:p>
        </w:tc>
      </w:tr>
      <w:tr w14:paraId="7CCD5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Align w:val="center"/>
          </w:tcPr>
          <w:p w14:paraId="36F2F25E">
            <w:pPr>
              <w:spacing w:line="240" w:lineRule="auto"/>
              <w:jc w:val="center"/>
              <w:rPr>
                <w:rFonts w:hint="eastAsia" w:ascii="宋体" w:hAnsi="宋体" w:cs="宋体"/>
                <w:bCs/>
                <w:sz w:val="18"/>
                <w:szCs w:val="18"/>
              </w:rPr>
            </w:pPr>
            <w:r>
              <w:rPr>
                <w:rFonts w:hint="eastAsia" w:ascii="宋体" w:hAnsi="宋体" w:cs="宋体"/>
                <w:bCs/>
                <w:sz w:val="18"/>
                <w:szCs w:val="18"/>
              </w:rPr>
              <w:t>3</w:t>
            </w:r>
          </w:p>
        </w:tc>
        <w:tc>
          <w:tcPr>
            <w:tcW w:w="1127" w:type="pct"/>
            <w:vAlign w:val="center"/>
          </w:tcPr>
          <w:p w14:paraId="2148D8F1">
            <w:pPr>
              <w:spacing w:line="240" w:lineRule="auto"/>
              <w:jc w:val="center"/>
              <w:rPr>
                <w:rFonts w:hint="eastAsia" w:ascii="宋体" w:hAnsi="宋体" w:cs="宋体"/>
                <w:bCs/>
                <w:sz w:val="18"/>
                <w:szCs w:val="18"/>
              </w:rPr>
            </w:pPr>
            <w:r>
              <w:rPr>
                <w:rFonts w:hint="eastAsia" w:ascii="宋体" w:hAnsi="宋体" w:cs="宋体"/>
                <w:bCs/>
                <w:sz w:val="18"/>
                <w:szCs w:val="18"/>
              </w:rPr>
              <w:t>主要单机和系统要求检查</w:t>
            </w:r>
          </w:p>
        </w:tc>
        <w:tc>
          <w:tcPr>
            <w:tcW w:w="688" w:type="pct"/>
            <w:vAlign w:val="center"/>
          </w:tcPr>
          <w:p w14:paraId="02B75266">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4DE0B30C">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700" w:type="pct"/>
            <w:vAlign w:val="center"/>
          </w:tcPr>
          <w:p w14:paraId="4041C2B5">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35D76116">
            <w:pPr>
              <w:spacing w:line="240" w:lineRule="auto"/>
              <w:jc w:val="center"/>
              <w:rPr>
                <w:rFonts w:hint="eastAsia" w:ascii="宋体" w:hAnsi="宋体" w:cs="宋体"/>
                <w:bCs/>
                <w:sz w:val="18"/>
                <w:szCs w:val="18"/>
              </w:rPr>
            </w:pPr>
            <w:r>
              <w:rPr>
                <w:rFonts w:hint="eastAsia" w:ascii="宋体" w:hAnsi="宋体" w:cs="宋体"/>
                <w:bCs/>
                <w:sz w:val="18"/>
                <w:szCs w:val="18"/>
              </w:rPr>
              <w:t>5.3</w:t>
            </w:r>
          </w:p>
        </w:tc>
        <w:tc>
          <w:tcPr>
            <w:tcW w:w="703" w:type="pct"/>
            <w:vAlign w:val="center"/>
          </w:tcPr>
          <w:p w14:paraId="22B45FD6">
            <w:pPr>
              <w:spacing w:line="240" w:lineRule="auto"/>
              <w:jc w:val="center"/>
              <w:rPr>
                <w:rFonts w:hint="eastAsia" w:ascii="宋体" w:hAnsi="宋体" w:cs="宋体"/>
                <w:bCs/>
                <w:sz w:val="18"/>
                <w:szCs w:val="18"/>
              </w:rPr>
            </w:pPr>
            <w:r>
              <w:rPr>
                <w:rFonts w:hint="eastAsia" w:ascii="宋体" w:hAnsi="宋体" w:cs="宋体"/>
                <w:bCs/>
                <w:sz w:val="18"/>
                <w:szCs w:val="18"/>
              </w:rPr>
              <w:t>6.4</w:t>
            </w:r>
          </w:p>
        </w:tc>
      </w:tr>
      <w:tr w14:paraId="2FEB1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Align w:val="center"/>
          </w:tcPr>
          <w:p w14:paraId="6D57DB7C">
            <w:pPr>
              <w:spacing w:line="240" w:lineRule="auto"/>
              <w:jc w:val="center"/>
              <w:rPr>
                <w:rFonts w:hint="eastAsia" w:ascii="宋体" w:hAnsi="宋体" w:cs="宋体"/>
                <w:bCs/>
                <w:sz w:val="18"/>
                <w:szCs w:val="18"/>
              </w:rPr>
            </w:pPr>
            <w:r>
              <w:rPr>
                <w:rFonts w:hint="eastAsia" w:ascii="宋体" w:hAnsi="宋体" w:cs="宋体"/>
                <w:bCs/>
                <w:sz w:val="18"/>
                <w:szCs w:val="18"/>
              </w:rPr>
              <w:t>4</w:t>
            </w:r>
          </w:p>
        </w:tc>
        <w:tc>
          <w:tcPr>
            <w:tcW w:w="1127" w:type="pct"/>
            <w:vAlign w:val="center"/>
          </w:tcPr>
          <w:p w14:paraId="5E8C09B9">
            <w:pPr>
              <w:spacing w:line="240" w:lineRule="auto"/>
              <w:jc w:val="center"/>
              <w:rPr>
                <w:rFonts w:hint="eastAsia" w:ascii="宋体" w:hAnsi="宋体" w:cs="宋体"/>
                <w:bCs/>
                <w:sz w:val="18"/>
                <w:szCs w:val="18"/>
              </w:rPr>
            </w:pPr>
            <w:r>
              <w:rPr>
                <w:rFonts w:hint="eastAsia" w:ascii="宋体" w:hAnsi="宋体" w:cs="宋体"/>
                <w:bCs/>
                <w:sz w:val="18"/>
                <w:szCs w:val="18"/>
              </w:rPr>
              <w:t>装配要求检查</w:t>
            </w:r>
          </w:p>
        </w:tc>
        <w:tc>
          <w:tcPr>
            <w:tcW w:w="688" w:type="pct"/>
            <w:vAlign w:val="center"/>
          </w:tcPr>
          <w:p w14:paraId="3D5DEAC7">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5704B5B3">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700" w:type="pct"/>
            <w:vAlign w:val="center"/>
          </w:tcPr>
          <w:p w14:paraId="6ABB72F6">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34362687">
            <w:pPr>
              <w:spacing w:line="240" w:lineRule="auto"/>
              <w:jc w:val="center"/>
              <w:rPr>
                <w:rFonts w:hint="eastAsia" w:ascii="宋体" w:hAnsi="宋体" w:cs="宋体"/>
                <w:bCs/>
                <w:sz w:val="18"/>
                <w:szCs w:val="18"/>
              </w:rPr>
            </w:pPr>
            <w:r>
              <w:rPr>
                <w:rFonts w:hint="eastAsia" w:ascii="宋体" w:hAnsi="宋体" w:cs="宋体"/>
                <w:bCs/>
                <w:sz w:val="18"/>
                <w:szCs w:val="18"/>
              </w:rPr>
              <w:t>5.4</w:t>
            </w:r>
          </w:p>
        </w:tc>
        <w:tc>
          <w:tcPr>
            <w:tcW w:w="703" w:type="pct"/>
            <w:vAlign w:val="center"/>
          </w:tcPr>
          <w:p w14:paraId="1C70D6BF">
            <w:pPr>
              <w:spacing w:line="240" w:lineRule="auto"/>
              <w:jc w:val="center"/>
              <w:rPr>
                <w:rFonts w:hint="eastAsia" w:ascii="宋体" w:hAnsi="宋体" w:cs="宋体"/>
                <w:bCs/>
                <w:sz w:val="18"/>
                <w:szCs w:val="18"/>
              </w:rPr>
            </w:pPr>
            <w:r>
              <w:rPr>
                <w:rFonts w:hint="eastAsia" w:ascii="宋体" w:hAnsi="宋体" w:cs="宋体"/>
                <w:bCs/>
                <w:sz w:val="18"/>
                <w:szCs w:val="18"/>
              </w:rPr>
              <w:t>6.5</w:t>
            </w:r>
          </w:p>
        </w:tc>
      </w:tr>
      <w:tr w14:paraId="2211E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Align w:val="center"/>
          </w:tcPr>
          <w:p w14:paraId="6A068808">
            <w:pPr>
              <w:spacing w:line="240" w:lineRule="auto"/>
              <w:jc w:val="center"/>
              <w:rPr>
                <w:rFonts w:hint="eastAsia" w:ascii="宋体" w:hAnsi="宋体" w:cs="宋体"/>
                <w:bCs/>
                <w:sz w:val="18"/>
                <w:szCs w:val="18"/>
              </w:rPr>
            </w:pPr>
            <w:r>
              <w:rPr>
                <w:rFonts w:hint="eastAsia" w:ascii="宋体" w:hAnsi="宋体" w:cs="宋体"/>
                <w:bCs/>
                <w:sz w:val="18"/>
                <w:szCs w:val="18"/>
              </w:rPr>
              <w:t>5</w:t>
            </w:r>
          </w:p>
        </w:tc>
        <w:tc>
          <w:tcPr>
            <w:tcW w:w="1127" w:type="pct"/>
            <w:vAlign w:val="center"/>
          </w:tcPr>
          <w:p w14:paraId="179D792B">
            <w:pPr>
              <w:spacing w:line="240" w:lineRule="auto"/>
              <w:jc w:val="center"/>
              <w:rPr>
                <w:rFonts w:hint="eastAsia" w:ascii="宋体" w:hAnsi="宋体" w:cs="宋体"/>
                <w:bCs/>
                <w:sz w:val="18"/>
                <w:szCs w:val="18"/>
              </w:rPr>
            </w:pPr>
            <w:r>
              <w:rPr>
                <w:rFonts w:hint="eastAsia" w:ascii="宋体" w:hAnsi="宋体" w:cs="宋体"/>
                <w:bCs/>
                <w:sz w:val="18"/>
                <w:szCs w:val="18"/>
              </w:rPr>
              <w:t>安装要求检查</w:t>
            </w:r>
          </w:p>
        </w:tc>
        <w:tc>
          <w:tcPr>
            <w:tcW w:w="688" w:type="pct"/>
            <w:vAlign w:val="center"/>
          </w:tcPr>
          <w:p w14:paraId="0F3E2D6E">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5F61A163">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700" w:type="pct"/>
            <w:vAlign w:val="center"/>
          </w:tcPr>
          <w:p w14:paraId="3F79374B">
            <w:pPr>
              <w:spacing w:line="240" w:lineRule="auto"/>
              <w:jc w:val="center"/>
              <w:rPr>
                <w:rFonts w:hint="eastAsia" w:ascii="宋体" w:hAnsi="宋体" w:cs="宋体"/>
                <w:bCs/>
                <w:strike/>
                <w:sz w:val="18"/>
                <w:szCs w:val="18"/>
              </w:rPr>
            </w:pPr>
            <w:r>
              <w:rPr>
                <w:rFonts w:hint="eastAsia" w:ascii="宋体" w:hAnsi="宋体" w:cs="宋体"/>
                <w:bCs/>
                <w:sz w:val="18"/>
                <w:szCs w:val="18"/>
              </w:rPr>
              <w:t>√</w:t>
            </w:r>
          </w:p>
        </w:tc>
        <w:tc>
          <w:tcPr>
            <w:tcW w:w="694" w:type="pct"/>
            <w:vAlign w:val="center"/>
          </w:tcPr>
          <w:p w14:paraId="284B1A67">
            <w:pPr>
              <w:spacing w:line="240" w:lineRule="auto"/>
              <w:jc w:val="center"/>
              <w:rPr>
                <w:rFonts w:hint="eastAsia" w:ascii="宋体" w:hAnsi="宋体" w:cs="宋体"/>
                <w:bCs/>
                <w:sz w:val="18"/>
                <w:szCs w:val="18"/>
              </w:rPr>
            </w:pPr>
            <w:r>
              <w:rPr>
                <w:rFonts w:hint="eastAsia" w:ascii="宋体" w:hAnsi="宋体" w:cs="宋体"/>
                <w:bCs/>
                <w:sz w:val="18"/>
                <w:szCs w:val="18"/>
              </w:rPr>
              <w:t>5.5</w:t>
            </w:r>
          </w:p>
        </w:tc>
        <w:tc>
          <w:tcPr>
            <w:tcW w:w="703" w:type="pct"/>
            <w:vAlign w:val="center"/>
          </w:tcPr>
          <w:p w14:paraId="6440B94F">
            <w:pPr>
              <w:spacing w:line="240" w:lineRule="auto"/>
              <w:jc w:val="center"/>
              <w:rPr>
                <w:rFonts w:hint="eastAsia" w:ascii="宋体" w:hAnsi="宋体" w:cs="宋体"/>
                <w:bCs/>
                <w:sz w:val="18"/>
                <w:szCs w:val="18"/>
              </w:rPr>
            </w:pPr>
            <w:r>
              <w:rPr>
                <w:rFonts w:hint="eastAsia" w:ascii="宋体" w:hAnsi="宋体" w:cs="宋体"/>
                <w:bCs/>
                <w:sz w:val="18"/>
                <w:szCs w:val="18"/>
              </w:rPr>
              <w:t>6.6</w:t>
            </w:r>
          </w:p>
        </w:tc>
      </w:tr>
      <w:tr w14:paraId="228FE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Align w:val="center"/>
          </w:tcPr>
          <w:p w14:paraId="23FE8C8A">
            <w:pPr>
              <w:spacing w:line="240" w:lineRule="auto"/>
              <w:jc w:val="center"/>
              <w:rPr>
                <w:rFonts w:hint="eastAsia" w:ascii="宋体" w:hAnsi="宋体" w:cs="宋体"/>
                <w:bCs/>
                <w:sz w:val="18"/>
                <w:szCs w:val="18"/>
              </w:rPr>
            </w:pPr>
            <w:r>
              <w:rPr>
                <w:rFonts w:hint="eastAsia" w:ascii="宋体" w:hAnsi="宋体" w:cs="宋体"/>
                <w:bCs/>
                <w:sz w:val="18"/>
                <w:szCs w:val="18"/>
              </w:rPr>
              <w:t>6</w:t>
            </w:r>
          </w:p>
        </w:tc>
        <w:tc>
          <w:tcPr>
            <w:tcW w:w="1127" w:type="pct"/>
            <w:vAlign w:val="center"/>
          </w:tcPr>
          <w:p w14:paraId="77624E9D">
            <w:pPr>
              <w:spacing w:line="240" w:lineRule="auto"/>
              <w:jc w:val="center"/>
              <w:rPr>
                <w:rFonts w:hint="eastAsia" w:ascii="宋体" w:hAnsi="宋体" w:cs="宋体"/>
                <w:bCs/>
                <w:sz w:val="18"/>
                <w:szCs w:val="18"/>
              </w:rPr>
            </w:pPr>
            <w:r>
              <w:rPr>
                <w:rFonts w:hint="eastAsia" w:ascii="宋体" w:hAnsi="宋体" w:cs="宋体"/>
                <w:bCs/>
                <w:sz w:val="18"/>
                <w:szCs w:val="18"/>
              </w:rPr>
              <w:t>卫生安全要求检查</w:t>
            </w:r>
          </w:p>
        </w:tc>
        <w:tc>
          <w:tcPr>
            <w:tcW w:w="688" w:type="pct"/>
            <w:vAlign w:val="center"/>
          </w:tcPr>
          <w:p w14:paraId="116EDDFD">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6546FD9D">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700" w:type="pct"/>
            <w:vAlign w:val="center"/>
          </w:tcPr>
          <w:p w14:paraId="6F7C4D8B">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0EB7C1B7">
            <w:pPr>
              <w:spacing w:line="240" w:lineRule="auto"/>
              <w:jc w:val="center"/>
              <w:rPr>
                <w:rFonts w:hint="eastAsia" w:ascii="宋体" w:hAnsi="宋体" w:cs="宋体"/>
                <w:bCs/>
                <w:sz w:val="18"/>
                <w:szCs w:val="18"/>
              </w:rPr>
            </w:pPr>
            <w:r>
              <w:rPr>
                <w:rFonts w:hint="eastAsia" w:ascii="宋体" w:hAnsi="宋体" w:cs="宋体"/>
                <w:bCs/>
                <w:sz w:val="18"/>
                <w:szCs w:val="18"/>
              </w:rPr>
              <w:t>5.6</w:t>
            </w:r>
          </w:p>
        </w:tc>
        <w:tc>
          <w:tcPr>
            <w:tcW w:w="703" w:type="pct"/>
            <w:vAlign w:val="center"/>
          </w:tcPr>
          <w:p w14:paraId="3A8F3278">
            <w:pPr>
              <w:spacing w:line="240" w:lineRule="auto"/>
              <w:jc w:val="center"/>
              <w:rPr>
                <w:rFonts w:hint="eastAsia" w:ascii="宋体" w:hAnsi="宋体" w:cs="宋体"/>
                <w:bCs/>
                <w:sz w:val="18"/>
                <w:szCs w:val="18"/>
              </w:rPr>
            </w:pPr>
            <w:r>
              <w:rPr>
                <w:rFonts w:hint="eastAsia" w:ascii="宋体" w:hAnsi="宋体" w:cs="宋体"/>
                <w:bCs/>
                <w:sz w:val="18"/>
                <w:szCs w:val="18"/>
              </w:rPr>
              <w:t>6.7</w:t>
            </w:r>
          </w:p>
        </w:tc>
      </w:tr>
      <w:tr w14:paraId="57C4B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Align w:val="center"/>
          </w:tcPr>
          <w:p w14:paraId="0595618C">
            <w:pPr>
              <w:spacing w:line="240" w:lineRule="auto"/>
              <w:jc w:val="center"/>
              <w:rPr>
                <w:rFonts w:hint="eastAsia" w:ascii="宋体" w:hAnsi="宋体" w:cs="宋体"/>
                <w:bCs/>
                <w:sz w:val="18"/>
                <w:szCs w:val="18"/>
              </w:rPr>
            </w:pPr>
            <w:r>
              <w:rPr>
                <w:rFonts w:hint="eastAsia" w:ascii="宋体" w:hAnsi="宋体" w:cs="宋体"/>
                <w:bCs/>
                <w:sz w:val="18"/>
                <w:szCs w:val="18"/>
              </w:rPr>
              <w:t>7</w:t>
            </w:r>
          </w:p>
        </w:tc>
        <w:tc>
          <w:tcPr>
            <w:tcW w:w="1127" w:type="pct"/>
            <w:vAlign w:val="center"/>
          </w:tcPr>
          <w:p w14:paraId="4ECBF7FF">
            <w:pPr>
              <w:spacing w:line="240" w:lineRule="auto"/>
              <w:jc w:val="center"/>
              <w:rPr>
                <w:rFonts w:hint="eastAsia" w:ascii="宋体" w:hAnsi="宋体" w:cs="宋体"/>
                <w:bCs/>
                <w:sz w:val="18"/>
                <w:szCs w:val="18"/>
              </w:rPr>
            </w:pPr>
            <w:r>
              <w:rPr>
                <w:rFonts w:hint="eastAsia" w:ascii="宋体" w:hAnsi="宋体" w:cs="宋体"/>
                <w:bCs/>
                <w:sz w:val="18"/>
                <w:szCs w:val="18"/>
              </w:rPr>
              <w:t>机械安全要求检查</w:t>
            </w:r>
          </w:p>
        </w:tc>
        <w:tc>
          <w:tcPr>
            <w:tcW w:w="688" w:type="pct"/>
            <w:vAlign w:val="center"/>
          </w:tcPr>
          <w:p w14:paraId="01F5DE10">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5054B8EB">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700" w:type="pct"/>
            <w:vAlign w:val="center"/>
          </w:tcPr>
          <w:p w14:paraId="5D46F68C">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066D4E47">
            <w:pPr>
              <w:spacing w:line="240" w:lineRule="auto"/>
              <w:jc w:val="center"/>
              <w:rPr>
                <w:rFonts w:hint="eastAsia" w:ascii="宋体" w:hAnsi="宋体" w:cs="宋体"/>
                <w:bCs/>
                <w:sz w:val="18"/>
                <w:szCs w:val="18"/>
              </w:rPr>
            </w:pPr>
            <w:r>
              <w:rPr>
                <w:rFonts w:hint="eastAsia" w:ascii="宋体" w:hAnsi="宋体" w:cs="宋体"/>
                <w:bCs/>
                <w:sz w:val="18"/>
                <w:szCs w:val="18"/>
              </w:rPr>
              <w:t>5.7</w:t>
            </w:r>
          </w:p>
        </w:tc>
        <w:tc>
          <w:tcPr>
            <w:tcW w:w="703" w:type="pct"/>
            <w:vAlign w:val="center"/>
          </w:tcPr>
          <w:p w14:paraId="2A609F1C">
            <w:pPr>
              <w:spacing w:line="240" w:lineRule="auto"/>
              <w:jc w:val="center"/>
              <w:rPr>
                <w:rFonts w:hint="eastAsia" w:ascii="宋体" w:hAnsi="宋体" w:cs="宋体"/>
                <w:bCs/>
                <w:sz w:val="18"/>
                <w:szCs w:val="18"/>
              </w:rPr>
            </w:pPr>
            <w:r>
              <w:rPr>
                <w:rFonts w:hint="eastAsia" w:ascii="宋体" w:hAnsi="宋体" w:cs="宋体"/>
                <w:bCs/>
                <w:sz w:val="18"/>
                <w:szCs w:val="18"/>
              </w:rPr>
              <w:t>6.8</w:t>
            </w:r>
          </w:p>
        </w:tc>
      </w:tr>
      <w:tr w14:paraId="013A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Align w:val="center"/>
          </w:tcPr>
          <w:p w14:paraId="31275BB7">
            <w:pPr>
              <w:spacing w:line="240" w:lineRule="auto"/>
              <w:jc w:val="center"/>
              <w:rPr>
                <w:rFonts w:hint="eastAsia" w:ascii="宋体" w:hAnsi="宋体" w:cs="宋体"/>
                <w:bCs/>
                <w:sz w:val="18"/>
                <w:szCs w:val="18"/>
              </w:rPr>
            </w:pPr>
            <w:r>
              <w:rPr>
                <w:rFonts w:hint="eastAsia" w:ascii="宋体" w:hAnsi="宋体" w:cs="宋体"/>
                <w:bCs/>
                <w:sz w:val="18"/>
                <w:szCs w:val="18"/>
              </w:rPr>
              <w:t>8</w:t>
            </w:r>
          </w:p>
        </w:tc>
        <w:tc>
          <w:tcPr>
            <w:tcW w:w="1127" w:type="pct"/>
            <w:vAlign w:val="center"/>
          </w:tcPr>
          <w:p w14:paraId="4DF64FA0">
            <w:pPr>
              <w:spacing w:line="240" w:lineRule="auto"/>
              <w:jc w:val="center"/>
              <w:rPr>
                <w:rFonts w:hint="eastAsia" w:ascii="宋体" w:hAnsi="宋体" w:cs="宋体"/>
                <w:bCs/>
                <w:sz w:val="18"/>
                <w:szCs w:val="18"/>
              </w:rPr>
            </w:pPr>
            <w:r>
              <w:rPr>
                <w:rFonts w:hint="eastAsia" w:ascii="宋体" w:hAnsi="宋体" w:cs="宋体"/>
                <w:bCs/>
                <w:sz w:val="18"/>
                <w:szCs w:val="18"/>
              </w:rPr>
              <w:t>电气安全要求检查</w:t>
            </w:r>
          </w:p>
        </w:tc>
        <w:tc>
          <w:tcPr>
            <w:tcW w:w="688" w:type="pct"/>
            <w:vAlign w:val="center"/>
          </w:tcPr>
          <w:p w14:paraId="7D598649">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6E81A490">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700" w:type="pct"/>
            <w:vAlign w:val="center"/>
          </w:tcPr>
          <w:p w14:paraId="7E9326DD">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6E46E48B">
            <w:pPr>
              <w:spacing w:line="240" w:lineRule="auto"/>
              <w:jc w:val="center"/>
              <w:rPr>
                <w:rFonts w:hint="eastAsia" w:ascii="宋体" w:hAnsi="宋体" w:cs="宋体"/>
                <w:bCs/>
                <w:sz w:val="18"/>
                <w:szCs w:val="18"/>
              </w:rPr>
            </w:pPr>
            <w:r>
              <w:rPr>
                <w:rFonts w:hint="eastAsia" w:ascii="宋体" w:hAnsi="宋体" w:cs="宋体"/>
                <w:bCs/>
                <w:sz w:val="18"/>
                <w:szCs w:val="18"/>
              </w:rPr>
              <w:t>5.8</w:t>
            </w:r>
          </w:p>
        </w:tc>
        <w:tc>
          <w:tcPr>
            <w:tcW w:w="703" w:type="pct"/>
            <w:vAlign w:val="center"/>
          </w:tcPr>
          <w:p w14:paraId="30BA96DE">
            <w:pPr>
              <w:spacing w:line="240" w:lineRule="auto"/>
              <w:jc w:val="center"/>
              <w:rPr>
                <w:rFonts w:hint="eastAsia" w:ascii="宋体" w:hAnsi="宋体" w:cs="宋体"/>
                <w:bCs/>
                <w:sz w:val="18"/>
                <w:szCs w:val="18"/>
              </w:rPr>
            </w:pPr>
            <w:r>
              <w:rPr>
                <w:rFonts w:hint="eastAsia" w:ascii="宋体" w:hAnsi="宋体" w:cs="宋体"/>
                <w:bCs/>
                <w:sz w:val="18"/>
                <w:szCs w:val="18"/>
              </w:rPr>
              <w:t>6.9</w:t>
            </w:r>
          </w:p>
        </w:tc>
      </w:tr>
      <w:tr w14:paraId="7580C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Align w:val="center"/>
          </w:tcPr>
          <w:p w14:paraId="3E08964F">
            <w:pPr>
              <w:spacing w:line="240" w:lineRule="auto"/>
              <w:jc w:val="center"/>
              <w:rPr>
                <w:rFonts w:hint="eastAsia" w:ascii="宋体" w:hAnsi="宋体" w:cs="宋体"/>
                <w:bCs/>
                <w:sz w:val="18"/>
                <w:szCs w:val="18"/>
              </w:rPr>
            </w:pPr>
            <w:r>
              <w:rPr>
                <w:rFonts w:hint="eastAsia" w:ascii="宋体" w:hAnsi="宋体" w:cs="宋体"/>
                <w:bCs/>
                <w:sz w:val="18"/>
                <w:szCs w:val="18"/>
              </w:rPr>
              <w:t>9</w:t>
            </w:r>
          </w:p>
        </w:tc>
        <w:tc>
          <w:tcPr>
            <w:tcW w:w="1127" w:type="pct"/>
            <w:vAlign w:val="center"/>
          </w:tcPr>
          <w:p w14:paraId="6A7B38BA">
            <w:pPr>
              <w:spacing w:line="240" w:lineRule="auto"/>
              <w:jc w:val="center"/>
              <w:rPr>
                <w:rFonts w:hint="eastAsia" w:ascii="宋体" w:hAnsi="宋体" w:cs="宋体"/>
                <w:bCs/>
                <w:sz w:val="18"/>
                <w:szCs w:val="18"/>
              </w:rPr>
            </w:pPr>
            <w:r>
              <w:rPr>
                <w:rFonts w:hint="eastAsia" w:ascii="宋体" w:hAnsi="宋体" w:cs="宋体"/>
                <w:bCs/>
                <w:sz w:val="18"/>
                <w:szCs w:val="18"/>
              </w:rPr>
              <w:t>成（配）套性检查</w:t>
            </w:r>
          </w:p>
        </w:tc>
        <w:tc>
          <w:tcPr>
            <w:tcW w:w="688" w:type="pct"/>
            <w:vAlign w:val="center"/>
          </w:tcPr>
          <w:p w14:paraId="143C2FAF">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63FE0691">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700" w:type="pct"/>
            <w:vAlign w:val="center"/>
          </w:tcPr>
          <w:p w14:paraId="234ED925">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22ED2C92">
            <w:pPr>
              <w:spacing w:line="240" w:lineRule="auto"/>
              <w:jc w:val="center"/>
              <w:rPr>
                <w:rFonts w:hint="eastAsia" w:ascii="宋体" w:hAnsi="宋体" w:cs="宋体"/>
                <w:bCs/>
                <w:sz w:val="18"/>
                <w:szCs w:val="18"/>
              </w:rPr>
            </w:pPr>
            <w:r>
              <w:rPr>
                <w:rFonts w:hint="eastAsia" w:ascii="宋体" w:hAnsi="宋体" w:cs="宋体"/>
                <w:bCs/>
                <w:sz w:val="18"/>
                <w:szCs w:val="18"/>
              </w:rPr>
              <w:t>5.9</w:t>
            </w:r>
          </w:p>
        </w:tc>
        <w:tc>
          <w:tcPr>
            <w:tcW w:w="703" w:type="pct"/>
            <w:vAlign w:val="center"/>
          </w:tcPr>
          <w:p w14:paraId="7FD3A57E">
            <w:pPr>
              <w:spacing w:line="240" w:lineRule="auto"/>
              <w:jc w:val="center"/>
              <w:rPr>
                <w:rFonts w:hint="eastAsia" w:ascii="宋体" w:hAnsi="宋体" w:cs="宋体"/>
                <w:bCs/>
                <w:sz w:val="18"/>
                <w:szCs w:val="18"/>
              </w:rPr>
            </w:pPr>
            <w:r>
              <w:rPr>
                <w:rFonts w:hint="eastAsia" w:ascii="宋体" w:hAnsi="宋体" w:cs="宋体"/>
                <w:bCs/>
                <w:sz w:val="18"/>
                <w:szCs w:val="18"/>
              </w:rPr>
              <w:t>6.10</w:t>
            </w:r>
          </w:p>
        </w:tc>
      </w:tr>
      <w:tr w14:paraId="7C820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Align w:val="center"/>
          </w:tcPr>
          <w:p w14:paraId="68224A0C">
            <w:pPr>
              <w:spacing w:line="240" w:lineRule="auto"/>
              <w:jc w:val="center"/>
              <w:rPr>
                <w:rFonts w:hint="eastAsia" w:ascii="宋体" w:hAnsi="宋体" w:cs="宋体"/>
                <w:bCs/>
                <w:sz w:val="18"/>
                <w:szCs w:val="18"/>
              </w:rPr>
            </w:pPr>
            <w:r>
              <w:rPr>
                <w:rFonts w:hint="eastAsia" w:ascii="宋体" w:hAnsi="宋体" w:cs="宋体"/>
                <w:bCs/>
                <w:sz w:val="18"/>
                <w:szCs w:val="18"/>
              </w:rPr>
              <w:t>10</w:t>
            </w:r>
          </w:p>
        </w:tc>
        <w:tc>
          <w:tcPr>
            <w:tcW w:w="1127" w:type="pct"/>
            <w:vAlign w:val="center"/>
          </w:tcPr>
          <w:p w14:paraId="067FA6C6">
            <w:pPr>
              <w:spacing w:line="240" w:lineRule="auto"/>
              <w:jc w:val="center"/>
              <w:rPr>
                <w:rFonts w:hint="eastAsia" w:ascii="宋体" w:hAnsi="宋体" w:cs="宋体"/>
                <w:bCs/>
                <w:sz w:val="18"/>
                <w:szCs w:val="18"/>
              </w:rPr>
            </w:pPr>
            <w:r>
              <w:rPr>
                <w:rFonts w:hint="eastAsia" w:ascii="宋体" w:hAnsi="宋体" w:cs="宋体"/>
                <w:bCs/>
                <w:sz w:val="18"/>
                <w:szCs w:val="18"/>
              </w:rPr>
              <w:t>空载试验</w:t>
            </w:r>
          </w:p>
        </w:tc>
        <w:tc>
          <w:tcPr>
            <w:tcW w:w="688" w:type="pct"/>
            <w:vAlign w:val="center"/>
          </w:tcPr>
          <w:p w14:paraId="6A2DA96F">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74C9E74E">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700" w:type="pct"/>
            <w:vAlign w:val="center"/>
          </w:tcPr>
          <w:p w14:paraId="00BB8F54">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367643E3">
            <w:pPr>
              <w:spacing w:line="240" w:lineRule="auto"/>
              <w:jc w:val="center"/>
              <w:rPr>
                <w:rFonts w:hint="eastAsia" w:ascii="宋体" w:hAnsi="宋体" w:cs="宋体"/>
                <w:bCs/>
                <w:sz w:val="18"/>
                <w:szCs w:val="18"/>
              </w:rPr>
            </w:pPr>
            <w:r>
              <w:rPr>
                <w:rFonts w:hint="eastAsia" w:ascii="宋体" w:hAnsi="宋体" w:cs="宋体"/>
                <w:bCs/>
                <w:sz w:val="18"/>
                <w:szCs w:val="18"/>
              </w:rPr>
              <w:t>6.11.1</w:t>
            </w:r>
          </w:p>
        </w:tc>
        <w:tc>
          <w:tcPr>
            <w:tcW w:w="703" w:type="pct"/>
            <w:vAlign w:val="center"/>
          </w:tcPr>
          <w:p w14:paraId="7217220C">
            <w:pPr>
              <w:spacing w:line="240" w:lineRule="auto"/>
              <w:jc w:val="center"/>
              <w:rPr>
                <w:rFonts w:hint="eastAsia" w:ascii="宋体" w:hAnsi="宋体" w:cs="宋体"/>
                <w:bCs/>
                <w:sz w:val="18"/>
                <w:szCs w:val="18"/>
              </w:rPr>
            </w:pPr>
            <w:r>
              <w:rPr>
                <w:rFonts w:hint="eastAsia" w:ascii="宋体" w:hAnsi="宋体" w:cs="宋体"/>
                <w:bCs/>
                <w:sz w:val="18"/>
                <w:szCs w:val="18"/>
              </w:rPr>
              <w:t>6.11.1</w:t>
            </w:r>
          </w:p>
        </w:tc>
      </w:tr>
      <w:tr w14:paraId="6F04D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Align w:val="center"/>
          </w:tcPr>
          <w:p w14:paraId="24A17B95">
            <w:pPr>
              <w:spacing w:line="240" w:lineRule="auto"/>
              <w:jc w:val="center"/>
              <w:rPr>
                <w:rFonts w:hint="eastAsia" w:ascii="宋体" w:hAnsi="宋体" w:cs="宋体"/>
                <w:bCs/>
                <w:sz w:val="18"/>
                <w:szCs w:val="18"/>
              </w:rPr>
            </w:pPr>
            <w:r>
              <w:rPr>
                <w:rFonts w:hint="eastAsia" w:ascii="宋体" w:hAnsi="宋体" w:cs="宋体"/>
                <w:bCs/>
                <w:sz w:val="18"/>
                <w:szCs w:val="18"/>
              </w:rPr>
              <w:t>11</w:t>
            </w:r>
          </w:p>
        </w:tc>
        <w:tc>
          <w:tcPr>
            <w:tcW w:w="1127" w:type="pct"/>
            <w:vAlign w:val="center"/>
          </w:tcPr>
          <w:p w14:paraId="620EBB19">
            <w:pPr>
              <w:spacing w:line="240" w:lineRule="auto"/>
              <w:jc w:val="center"/>
              <w:rPr>
                <w:rFonts w:hint="eastAsia" w:ascii="宋体" w:hAnsi="宋体" w:cs="宋体"/>
                <w:bCs/>
                <w:sz w:val="18"/>
                <w:szCs w:val="18"/>
              </w:rPr>
            </w:pPr>
            <w:r>
              <w:rPr>
                <w:rFonts w:hint="eastAsia" w:ascii="宋体" w:hAnsi="宋体" w:cs="宋体"/>
                <w:bCs/>
                <w:sz w:val="18"/>
                <w:szCs w:val="18"/>
              </w:rPr>
              <w:t>负载试验</w:t>
            </w:r>
          </w:p>
        </w:tc>
        <w:tc>
          <w:tcPr>
            <w:tcW w:w="688" w:type="pct"/>
            <w:vAlign w:val="center"/>
          </w:tcPr>
          <w:p w14:paraId="6A2CA238">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4D582D03">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700" w:type="pct"/>
            <w:vAlign w:val="center"/>
          </w:tcPr>
          <w:p w14:paraId="4AC3B0CB">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50623A61">
            <w:pPr>
              <w:spacing w:line="240" w:lineRule="auto"/>
              <w:jc w:val="center"/>
              <w:rPr>
                <w:rFonts w:hint="eastAsia" w:ascii="宋体" w:hAnsi="宋体" w:cs="宋体"/>
                <w:bCs/>
                <w:sz w:val="18"/>
                <w:szCs w:val="18"/>
              </w:rPr>
            </w:pPr>
            <w:r>
              <w:rPr>
                <w:rFonts w:hint="eastAsia" w:ascii="宋体" w:hAnsi="宋体" w:cs="宋体"/>
                <w:bCs/>
                <w:sz w:val="18"/>
                <w:szCs w:val="18"/>
              </w:rPr>
              <w:t>6.11.2</w:t>
            </w:r>
          </w:p>
        </w:tc>
        <w:tc>
          <w:tcPr>
            <w:tcW w:w="703" w:type="pct"/>
            <w:vAlign w:val="center"/>
          </w:tcPr>
          <w:p w14:paraId="636684E3">
            <w:pPr>
              <w:spacing w:line="240" w:lineRule="auto"/>
              <w:jc w:val="center"/>
              <w:rPr>
                <w:rFonts w:hint="eastAsia" w:ascii="宋体" w:hAnsi="宋体" w:cs="宋体"/>
                <w:bCs/>
                <w:sz w:val="18"/>
                <w:szCs w:val="18"/>
              </w:rPr>
            </w:pPr>
            <w:r>
              <w:rPr>
                <w:rFonts w:hint="eastAsia" w:ascii="宋体" w:hAnsi="宋体" w:cs="宋体"/>
                <w:bCs/>
                <w:sz w:val="18"/>
                <w:szCs w:val="18"/>
              </w:rPr>
              <w:t>6.11.2</w:t>
            </w:r>
          </w:p>
        </w:tc>
      </w:tr>
      <w:tr w14:paraId="1FA7F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Align w:val="center"/>
          </w:tcPr>
          <w:p w14:paraId="27AB8482">
            <w:pPr>
              <w:spacing w:line="240" w:lineRule="auto"/>
              <w:jc w:val="center"/>
              <w:rPr>
                <w:rFonts w:hint="eastAsia" w:ascii="宋体" w:hAnsi="宋体" w:cs="宋体"/>
                <w:bCs/>
                <w:sz w:val="18"/>
                <w:szCs w:val="18"/>
              </w:rPr>
            </w:pPr>
            <w:r>
              <w:rPr>
                <w:rFonts w:hint="eastAsia" w:ascii="宋体" w:hAnsi="宋体" w:cs="宋体"/>
                <w:bCs/>
                <w:sz w:val="18"/>
                <w:szCs w:val="18"/>
              </w:rPr>
              <w:t>12</w:t>
            </w:r>
          </w:p>
        </w:tc>
        <w:tc>
          <w:tcPr>
            <w:tcW w:w="1127" w:type="pct"/>
            <w:vAlign w:val="center"/>
          </w:tcPr>
          <w:p w14:paraId="7A073FC5">
            <w:pPr>
              <w:spacing w:line="240" w:lineRule="auto"/>
              <w:jc w:val="center"/>
              <w:rPr>
                <w:rFonts w:hint="eastAsia" w:ascii="宋体" w:hAnsi="宋体" w:cs="宋体"/>
                <w:bCs/>
                <w:sz w:val="18"/>
                <w:szCs w:val="18"/>
              </w:rPr>
            </w:pPr>
            <w:r>
              <w:rPr>
                <w:rFonts w:hint="eastAsia" w:ascii="宋体" w:hAnsi="宋体" w:cs="宋体"/>
                <w:bCs/>
                <w:sz w:val="18"/>
                <w:szCs w:val="18"/>
              </w:rPr>
              <w:t>加工能力试验</w:t>
            </w:r>
          </w:p>
        </w:tc>
        <w:tc>
          <w:tcPr>
            <w:tcW w:w="688" w:type="pct"/>
            <w:vAlign w:val="center"/>
          </w:tcPr>
          <w:p w14:paraId="032672E3">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75122DED">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700" w:type="pct"/>
            <w:vAlign w:val="center"/>
          </w:tcPr>
          <w:p w14:paraId="5578D788">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17F165AF">
            <w:pPr>
              <w:spacing w:line="240" w:lineRule="auto"/>
              <w:jc w:val="center"/>
              <w:rPr>
                <w:rFonts w:hint="eastAsia" w:ascii="宋体" w:hAnsi="宋体" w:cs="宋体"/>
                <w:bCs/>
                <w:sz w:val="18"/>
                <w:szCs w:val="18"/>
              </w:rPr>
            </w:pPr>
            <w:r>
              <w:rPr>
                <w:rFonts w:hint="eastAsia" w:ascii="宋体" w:hAnsi="宋体" w:cs="宋体"/>
                <w:bCs/>
                <w:sz w:val="18"/>
                <w:szCs w:val="18"/>
              </w:rPr>
              <w:t>5.10.1</w:t>
            </w:r>
          </w:p>
        </w:tc>
        <w:tc>
          <w:tcPr>
            <w:tcW w:w="703" w:type="pct"/>
            <w:vAlign w:val="center"/>
          </w:tcPr>
          <w:p w14:paraId="22D6A5EB">
            <w:pPr>
              <w:spacing w:line="240" w:lineRule="auto"/>
              <w:jc w:val="center"/>
              <w:rPr>
                <w:rFonts w:hint="eastAsia" w:ascii="宋体" w:hAnsi="宋体" w:cs="宋体"/>
                <w:bCs/>
                <w:sz w:val="18"/>
                <w:szCs w:val="18"/>
              </w:rPr>
            </w:pPr>
            <w:r>
              <w:rPr>
                <w:rFonts w:hint="eastAsia" w:ascii="宋体" w:hAnsi="宋体" w:cs="宋体"/>
                <w:bCs/>
                <w:sz w:val="18"/>
                <w:szCs w:val="18"/>
              </w:rPr>
              <w:t>6.11.3</w:t>
            </w:r>
          </w:p>
        </w:tc>
      </w:tr>
      <w:tr w14:paraId="0D371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Align w:val="center"/>
          </w:tcPr>
          <w:p w14:paraId="0A9AAC9B">
            <w:pPr>
              <w:spacing w:line="240" w:lineRule="auto"/>
              <w:jc w:val="center"/>
              <w:rPr>
                <w:rFonts w:hint="eastAsia" w:ascii="宋体" w:hAnsi="宋体" w:cs="宋体"/>
                <w:bCs/>
                <w:sz w:val="18"/>
                <w:szCs w:val="18"/>
              </w:rPr>
            </w:pPr>
            <w:r>
              <w:rPr>
                <w:rFonts w:hint="eastAsia" w:ascii="宋体" w:hAnsi="宋体" w:cs="宋体"/>
                <w:bCs/>
                <w:sz w:val="18"/>
                <w:szCs w:val="18"/>
              </w:rPr>
              <w:t>13</w:t>
            </w:r>
          </w:p>
        </w:tc>
        <w:tc>
          <w:tcPr>
            <w:tcW w:w="1127" w:type="pct"/>
            <w:vAlign w:val="center"/>
          </w:tcPr>
          <w:p w14:paraId="6ADC5F24">
            <w:pPr>
              <w:spacing w:line="240" w:lineRule="auto"/>
              <w:jc w:val="center"/>
              <w:rPr>
                <w:rFonts w:hint="eastAsia" w:ascii="宋体" w:hAnsi="宋体" w:cs="宋体"/>
                <w:bCs/>
                <w:sz w:val="18"/>
                <w:szCs w:val="18"/>
              </w:rPr>
            </w:pPr>
            <w:r>
              <w:rPr>
                <w:rFonts w:hint="eastAsia" w:ascii="宋体" w:hAnsi="宋体" w:cs="宋体"/>
                <w:bCs/>
                <w:sz w:val="18"/>
                <w:szCs w:val="18"/>
              </w:rPr>
              <w:t>单位谷物能耗量试验</w:t>
            </w:r>
          </w:p>
        </w:tc>
        <w:tc>
          <w:tcPr>
            <w:tcW w:w="688" w:type="pct"/>
            <w:vAlign w:val="center"/>
          </w:tcPr>
          <w:p w14:paraId="233AE80F">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25E54438">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700" w:type="pct"/>
            <w:vAlign w:val="center"/>
          </w:tcPr>
          <w:p w14:paraId="6776D7BB">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553F1466">
            <w:pPr>
              <w:spacing w:line="240" w:lineRule="auto"/>
              <w:jc w:val="center"/>
              <w:rPr>
                <w:rFonts w:hint="eastAsia" w:ascii="宋体" w:hAnsi="宋体" w:cs="宋体"/>
                <w:bCs/>
                <w:sz w:val="18"/>
                <w:szCs w:val="18"/>
              </w:rPr>
            </w:pPr>
            <w:r>
              <w:rPr>
                <w:rFonts w:hint="eastAsia" w:ascii="宋体" w:hAnsi="宋体" w:cs="宋体"/>
                <w:bCs/>
                <w:sz w:val="18"/>
                <w:szCs w:val="18"/>
              </w:rPr>
              <w:t>5.10.1</w:t>
            </w:r>
          </w:p>
        </w:tc>
        <w:tc>
          <w:tcPr>
            <w:tcW w:w="703" w:type="pct"/>
            <w:vAlign w:val="center"/>
          </w:tcPr>
          <w:p w14:paraId="6FFE635F">
            <w:pPr>
              <w:spacing w:line="240" w:lineRule="auto"/>
              <w:jc w:val="center"/>
              <w:rPr>
                <w:rFonts w:hint="eastAsia" w:ascii="宋体" w:hAnsi="宋体" w:cs="宋体"/>
                <w:bCs/>
                <w:sz w:val="18"/>
                <w:szCs w:val="18"/>
              </w:rPr>
            </w:pPr>
            <w:r>
              <w:rPr>
                <w:rFonts w:hint="eastAsia" w:ascii="宋体" w:hAnsi="宋体" w:cs="宋体"/>
                <w:bCs/>
                <w:sz w:val="18"/>
                <w:szCs w:val="18"/>
              </w:rPr>
              <w:t>6.11.4</w:t>
            </w:r>
          </w:p>
        </w:tc>
      </w:tr>
      <w:tr w14:paraId="34BAA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Align w:val="center"/>
          </w:tcPr>
          <w:p w14:paraId="1577F6E4">
            <w:pPr>
              <w:spacing w:line="240" w:lineRule="auto"/>
              <w:jc w:val="center"/>
              <w:rPr>
                <w:rFonts w:hint="eastAsia" w:ascii="宋体" w:hAnsi="宋体" w:cs="宋体"/>
                <w:bCs/>
                <w:sz w:val="18"/>
                <w:szCs w:val="18"/>
              </w:rPr>
            </w:pPr>
            <w:r>
              <w:rPr>
                <w:rFonts w:hint="eastAsia" w:ascii="宋体" w:hAnsi="宋体" w:cs="宋体"/>
                <w:bCs/>
                <w:sz w:val="18"/>
                <w:szCs w:val="18"/>
              </w:rPr>
              <w:t>14</w:t>
            </w:r>
          </w:p>
        </w:tc>
        <w:tc>
          <w:tcPr>
            <w:tcW w:w="1127" w:type="pct"/>
            <w:vAlign w:val="center"/>
          </w:tcPr>
          <w:p w14:paraId="36474C6A">
            <w:pPr>
              <w:spacing w:line="240" w:lineRule="auto"/>
              <w:jc w:val="center"/>
              <w:rPr>
                <w:rFonts w:hint="eastAsia" w:ascii="宋体" w:hAnsi="宋体" w:cs="宋体"/>
                <w:bCs/>
                <w:sz w:val="18"/>
                <w:szCs w:val="18"/>
              </w:rPr>
            </w:pPr>
            <w:r>
              <w:rPr>
                <w:rFonts w:hint="eastAsia" w:ascii="宋体" w:hAnsi="宋体" w:cs="宋体"/>
                <w:bCs/>
                <w:sz w:val="18"/>
                <w:szCs w:val="18"/>
              </w:rPr>
              <w:t>使用有效度试验</w:t>
            </w:r>
          </w:p>
        </w:tc>
        <w:tc>
          <w:tcPr>
            <w:tcW w:w="688" w:type="pct"/>
            <w:vAlign w:val="center"/>
          </w:tcPr>
          <w:p w14:paraId="684B5233">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2C9D6A9C">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700" w:type="pct"/>
            <w:vAlign w:val="center"/>
          </w:tcPr>
          <w:p w14:paraId="2E0FB4B8">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2B94CCB7">
            <w:pPr>
              <w:spacing w:line="240" w:lineRule="auto"/>
              <w:jc w:val="center"/>
              <w:rPr>
                <w:rFonts w:hint="eastAsia" w:ascii="宋体" w:hAnsi="宋体" w:cs="宋体"/>
                <w:bCs/>
                <w:sz w:val="18"/>
                <w:szCs w:val="18"/>
              </w:rPr>
            </w:pPr>
            <w:r>
              <w:rPr>
                <w:rFonts w:hint="eastAsia" w:ascii="宋体" w:hAnsi="宋体" w:cs="宋体"/>
                <w:bCs/>
                <w:sz w:val="18"/>
                <w:szCs w:val="18"/>
              </w:rPr>
              <w:t>5.10.1</w:t>
            </w:r>
          </w:p>
        </w:tc>
        <w:tc>
          <w:tcPr>
            <w:tcW w:w="703" w:type="pct"/>
            <w:vAlign w:val="center"/>
          </w:tcPr>
          <w:p w14:paraId="067E421B">
            <w:pPr>
              <w:spacing w:line="240" w:lineRule="auto"/>
              <w:jc w:val="center"/>
              <w:rPr>
                <w:rFonts w:hint="eastAsia" w:ascii="宋体" w:hAnsi="宋体" w:cs="宋体"/>
                <w:bCs/>
                <w:sz w:val="18"/>
                <w:szCs w:val="18"/>
              </w:rPr>
            </w:pPr>
            <w:r>
              <w:rPr>
                <w:rFonts w:hint="eastAsia" w:ascii="宋体" w:hAnsi="宋体" w:cs="宋体"/>
                <w:bCs/>
                <w:sz w:val="18"/>
                <w:szCs w:val="18"/>
              </w:rPr>
              <w:t>6.11.5</w:t>
            </w:r>
          </w:p>
        </w:tc>
      </w:tr>
      <w:tr w14:paraId="72D61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Align w:val="center"/>
          </w:tcPr>
          <w:p w14:paraId="788E6C45">
            <w:pPr>
              <w:spacing w:line="240" w:lineRule="auto"/>
              <w:jc w:val="center"/>
              <w:rPr>
                <w:rFonts w:hint="eastAsia" w:ascii="宋体" w:hAnsi="宋体" w:cs="宋体"/>
                <w:bCs/>
                <w:sz w:val="18"/>
                <w:szCs w:val="18"/>
              </w:rPr>
            </w:pPr>
            <w:r>
              <w:rPr>
                <w:rFonts w:hint="eastAsia" w:ascii="宋体" w:hAnsi="宋体" w:cs="宋体"/>
                <w:bCs/>
                <w:sz w:val="18"/>
                <w:szCs w:val="18"/>
              </w:rPr>
              <w:t>15</w:t>
            </w:r>
          </w:p>
        </w:tc>
        <w:tc>
          <w:tcPr>
            <w:tcW w:w="1127" w:type="pct"/>
            <w:vAlign w:val="center"/>
          </w:tcPr>
          <w:p w14:paraId="0ADC8004">
            <w:pPr>
              <w:spacing w:line="240" w:lineRule="auto"/>
              <w:jc w:val="center"/>
              <w:rPr>
                <w:rFonts w:hint="eastAsia" w:ascii="宋体" w:hAnsi="宋体" w:cs="宋体"/>
                <w:bCs/>
                <w:sz w:val="18"/>
                <w:szCs w:val="18"/>
              </w:rPr>
            </w:pPr>
            <w:r>
              <w:rPr>
                <w:rFonts w:hint="eastAsia" w:ascii="宋体" w:hAnsi="宋体" w:cs="宋体"/>
                <w:bCs/>
                <w:sz w:val="18"/>
                <w:szCs w:val="18"/>
              </w:rPr>
              <w:t>工作噪声检测</w:t>
            </w:r>
          </w:p>
        </w:tc>
        <w:tc>
          <w:tcPr>
            <w:tcW w:w="688" w:type="pct"/>
            <w:vAlign w:val="center"/>
          </w:tcPr>
          <w:p w14:paraId="4827D120">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3A8E90E4">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700" w:type="pct"/>
            <w:vAlign w:val="center"/>
          </w:tcPr>
          <w:p w14:paraId="0A59539F">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1FE9B79B">
            <w:pPr>
              <w:spacing w:line="240" w:lineRule="auto"/>
              <w:jc w:val="center"/>
              <w:rPr>
                <w:rFonts w:hint="eastAsia" w:ascii="宋体" w:hAnsi="宋体" w:cs="宋体"/>
                <w:bCs/>
                <w:sz w:val="18"/>
                <w:szCs w:val="18"/>
              </w:rPr>
            </w:pPr>
            <w:r>
              <w:rPr>
                <w:rFonts w:hint="eastAsia" w:ascii="宋体" w:hAnsi="宋体" w:cs="宋体"/>
                <w:bCs/>
                <w:sz w:val="18"/>
                <w:szCs w:val="18"/>
              </w:rPr>
              <w:t>5.10.1</w:t>
            </w:r>
          </w:p>
        </w:tc>
        <w:tc>
          <w:tcPr>
            <w:tcW w:w="703" w:type="pct"/>
            <w:vAlign w:val="center"/>
          </w:tcPr>
          <w:p w14:paraId="64357BAA">
            <w:pPr>
              <w:spacing w:line="240" w:lineRule="auto"/>
              <w:jc w:val="center"/>
              <w:rPr>
                <w:rFonts w:hint="eastAsia" w:ascii="宋体" w:hAnsi="宋体" w:cs="宋体"/>
                <w:bCs/>
                <w:sz w:val="18"/>
                <w:szCs w:val="18"/>
              </w:rPr>
            </w:pPr>
            <w:r>
              <w:rPr>
                <w:rFonts w:hint="eastAsia" w:ascii="宋体" w:hAnsi="宋体" w:cs="宋体"/>
                <w:bCs/>
                <w:sz w:val="18"/>
                <w:szCs w:val="18"/>
              </w:rPr>
              <w:t>6.11.6</w:t>
            </w:r>
          </w:p>
        </w:tc>
      </w:tr>
      <w:tr w14:paraId="723ED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Align w:val="center"/>
          </w:tcPr>
          <w:p w14:paraId="1A677424">
            <w:pPr>
              <w:spacing w:line="240" w:lineRule="auto"/>
              <w:jc w:val="center"/>
              <w:rPr>
                <w:rFonts w:hint="eastAsia" w:ascii="宋体" w:hAnsi="宋体" w:cs="宋体"/>
                <w:bCs/>
                <w:sz w:val="18"/>
                <w:szCs w:val="18"/>
              </w:rPr>
            </w:pPr>
            <w:r>
              <w:rPr>
                <w:rFonts w:hint="eastAsia" w:ascii="宋体" w:hAnsi="宋体" w:cs="宋体"/>
                <w:bCs/>
                <w:sz w:val="18"/>
                <w:szCs w:val="18"/>
              </w:rPr>
              <w:t>16</w:t>
            </w:r>
          </w:p>
        </w:tc>
        <w:tc>
          <w:tcPr>
            <w:tcW w:w="1127" w:type="pct"/>
            <w:vAlign w:val="center"/>
          </w:tcPr>
          <w:p w14:paraId="0DDF42B4">
            <w:pPr>
              <w:spacing w:line="240" w:lineRule="auto"/>
              <w:jc w:val="center"/>
              <w:rPr>
                <w:rFonts w:hint="eastAsia" w:ascii="宋体" w:hAnsi="宋体" w:cs="宋体"/>
                <w:bCs/>
                <w:sz w:val="18"/>
                <w:szCs w:val="18"/>
              </w:rPr>
            </w:pPr>
            <w:r>
              <w:rPr>
                <w:rFonts w:hint="eastAsia" w:ascii="宋体" w:hAnsi="宋体" w:cs="宋体"/>
                <w:bCs/>
                <w:sz w:val="18"/>
                <w:szCs w:val="18"/>
              </w:rPr>
              <w:t>标志检查</w:t>
            </w:r>
          </w:p>
        </w:tc>
        <w:tc>
          <w:tcPr>
            <w:tcW w:w="688" w:type="pct"/>
            <w:vAlign w:val="center"/>
          </w:tcPr>
          <w:p w14:paraId="490E9AA7">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504FD966">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700" w:type="pct"/>
            <w:vAlign w:val="center"/>
          </w:tcPr>
          <w:p w14:paraId="22540B01">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0D36DCE3">
            <w:pPr>
              <w:spacing w:line="240" w:lineRule="auto"/>
              <w:jc w:val="center"/>
              <w:rPr>
                <w:rFonts w:hint="eastAsia" w:ascii="宋体" w:hAnsi="宋体" w:cs="宋体"/>
                <w:bCs/>
                <w:sz w:val="18"/>
                <w:szCs w:val="18"/>
              </w:rPr>
            </w:pPr>
            <w:r>
              <w:rPr>
                <w:rFonts w:hint="eastAsia" w:ascii="宋体" w:hAnsi="宋体" w:cs="宋体"/>
                <w:bCs/>
                <w:sz w:val="18"/>
                <w:szCs w:val="18"/>
              </w:rPr>
              <w:t>8.1</w:t>
            </w:r>
          </w:p>
        </w:tc>
        <w:tc>
          <w:tcPr>
            <w:tcW w:w="703" w:type="pct"/>
            <w:vAlign w:val="center"/>
          </w:tcPr>
          <w:p w14:paraId="0CC4BACC">
            <w:pPr>
              <w:spacing w:line="240" w:lineRule="auto"/>
              <w:jc w:val="center"/>
              <w:rPr>
                <w:rFonts w:hint="eastAsia" w:ascii="宋体" w:hAnsi="宋体" w:cs="宋体"/>
                <w:bCs/>
                <w:sz w:val="18"/>
                <w:szCs w:val="18"/>
              </w:rPr>
            </w:pPr>
            <w:r>
              <w:rPr>
                <w:rFonts w:hint="eastAsia" w:ascii="宋体" w:hAnsi="宋体" w:cs="宋体"/>
                <w:bCs/>
                <w:sz w:val="18"/>
                <w:szCs w:val="18"/>
              </w:rPr>
              <w:t>8.1</w:t>
            </w:r>
          </w:p>
        </w:tc>
      </w:tr>
      <w:tr w14:paraId="4C02E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Align w:val="center"/>
          </w:tcPr>
          <w:p w14:paraId="70F55ABF">
            <w:pPr>
              <w:spacing w:line="240" w:lineRule="auto"/>
              <w:jc w:val="center"/>
              <w:rPr>
                <w:rFonts w:hint="eastAsia" w:ascii="宋体" w:hAnsi="宋体" w:cs="宋体"/>
                <w:bCs/>
                <w:sz w:val="18"/>
                <w:szCs w:val="18"/>
              </w:rPr>
            </w:pPr>
            <w:r>
              <w:rPr>
                <w:rFonts w:hint="eastAsia" w:ascii="宋体" w:hAnsi="宋体" w:cs="宋体"/>
                <w:bCs/>
                <w:sz w:val="18"/>
                <w:szCs w:val="18"/>
              </w:rPr>
              <w:t>17</w:t>
            </w:r>
          </w:p>
        </w:tc>
        <w:tc>
          <w:tcPr>
            <w:tcW w:w="1127" w:type="pct"/>
            <w:vAlign w:val="center"/>
          </w:tcPr>
          <w:p w14:paraId="0FA7454E">
            <w:pPr>
              <w:spacing w:line="240" w:lineRule="auto"/>
              <w:jc w:val="center"/>
              <w:rPr>
                <w:rFonts w:hint="eastAsia" w:ascii="宋体" w:hAnsi="宋体" w:cs="宋体"/>
                <w:bCs/>
                <w:sz w:val="18"/>
                <w:szCs w:val="18"/>
              </w:rPr>
            </w:pPr>
            <w:r>
              <w:rPr>
                <w:rFonts w:hint="eastAsia" w:ascii="宋体" w:hAnsi="宋体" w:cs="宋体"/>
                <w:bCs/>
                <w:sz w:val="18"/>
                <w:szCs w:val="18"/>
              </w:rPr>
              <w:t>技术文件检查</w:t>
            </w:r>
          </w:p>
        </w:tc>
        <w:tc>
          <w:tcPr>
            <w:tcW w:w="688" w:type="pct"/>
            <w:vAlign w:val="center"/>
          </w:tcPr>
          <w:p w14:paraId="1F1A74D0">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5500213C">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700" w:type="pct"/>
            <w:vAlign w:val="center"/>
          </w:tcPr>
          <w:p w14:paraId="0107D431">
            <w:pPr>
              <w:spacing w:line="240" w:lineRule="auto"/>
              <w:jc w:val="center"/>
              <w:rPr>
                <w:rFonts w:hint="eastAsia" w:ascii="宋体" w:hAnsi="宋体" w:cs="宋体"/>
                <w:bCs/>
                <w:sz w:val="18"/>
                <w:szCs w:val="18"/>
              </w:rPr>
            </w:pPr>
            <w:r>
              <w:rPr>
                <w:rFonts w:hint="eastAsia" w:ascii="宋体" w:hAnsi="宋体" w:cs="宋体"/>
                <w:bCs/>
                <w:sz w:val="18"/>
                <w:szCs w:val="18"/>
              </w:rPr>
              <w:t>√</w:t>
            </w:r>
          </w:p>
        </w:tc>
        <w:tc>
          <w:tcPr>
            <w:tcW w:w="694" w:type="pct"/>
            <w:vAlign w:val="center"/>
          </w:tcPr>
          <w:p w14:paraId="246403AA">
            <w:pPr>
              <w:spacing w:line="240" w:lineRule="auto"/>
              <w:jc w:val="center"/>
              <w:rPr>
                <w:rFonts w:hint="eastAsia" w:ascii="宋体" w:hAnsi="宋体" w:cs="宋体"/>
                <w:bCs/>
                <w:sz w:val="18"/>
                <w:szCs w:val="18"/>
              </w:rPr>
            </w:pPr>
            <w:r>
              <w:rPr>
                <w:rFonts w:hint="eastAsia" w:ascii="宋体" w:hAnsi="宋体" w:cs="宋体"/>
                <w:bCs/>
                <w:sz w:val="18"/>
                <w:szCs w:val="18"/>
              </w:rPr>
              <w:t>8.2.4</w:t>
            </w:r>
          </w:p>
        </w:tc>
        <w:tc>
          <w:tcPr>
            <w:tcW w:w="703" w:type="pct"/>
            <w:vAlign w:val="center"/>
          </w:tcPr>
          <w:p w14:paraId="2BED5C83">
            <w:pPr>
              <w:spacing w:line="240" w:lineRule="auto"/>
              <w:jc w:val="center"/>
              <w:rPr>
                <w:rFonts w:hint="eastAsia" w:ascii="宋体" w:hAnsi="宋体" w:cs="宋体"/>
                <w:bCs/>
                <w:sz w:val="18"/>
                <w:szCs w:val="18"/>
              </w:rPr>
            </w:pPr>
            <w:r>
              <w:rPr>
                <w:rFonts w:hint="eastAsia" w:ascii="宋体" w:hAnsi="宋体" w:cs="宋体"/>
                <w:bCs/>
                <w:sz w:val="18"/>
                <w:szCs w:val="18"/>
              </w:rPr>
              <w:t>8.2.4</w:t>
            </w:r>
          </w:p>
        </w:tc>
      </w:tr>
      <w:tr w14:paraId="68607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7"/>
            <w:vAlign w:val="center"/>
          </w:tcPr>
          <w:p w14:paraId="261AACB5">
            <w:pPr>
              <w:spacing w:line="240" w:lineRule="auto"/>
              <w:jc w:val="both"/>
              <w:rPr>
                <w:rFonts w:hint="eastAsia" w:ascii="宋体" w:hAnsi="宋体" w:cs="宋体"/>
                <w:bCs/>
                <w:sz w:val="18"/>
                <w:szCs w:val="18"/>
              </w:rPr>
            </w:pPr>
            <w:r>
              <w:rPr>
                <w:rFonts w:hint="eastAsia" w:ascii="宋体" w:hAnsi="宋体" w:cs="宋体"/>
                <w:bCs/>
                <w:sz w:val="18"/>
                <w:szCs w:val="18"/>
              </w:rPr>
              <w:t>注：“√”表示检验项目；“—”表示非检验项目。</w:t>
            </w:r>
          </w:p>
        </w:tc>
      </w:tr>
    </w:tbl>
    <w:p w14:paraId="56D1424C">
      <w:pPr>
        <w:pStyle w:val="268"/>
        <w:numPr>
          <w:ilvl w:val="3"/>
          <w:numId w:val="35"/>
        </w:numPr>
        <w:spacing w:before="0" w:beforeLines="0" w:after="0" w:afterLines="0" w:line="240" w:lineRule="auto"/>
        <w:jc w:val="both"/>
        <w:outlineLvl w:val="2"/>
        <w:rPr>
          <w:rFonts w:hint="eastAsia" w:ascii="宋体" w:hAnsi="宋体" w:eastAsia="宋体" w:cs="宋体"/>
          <w:color w:val="000000" w:themeColor="text1"/>
          <w14:textFill>
            <w14:solidFill>
              <w14:schemeClr w14:val="tx1"/>
            </w14:solidFill>
          </w14:textFill>
        </w:rPr>
      </w:pPr>
      <w:bookmarkStart w:id="818" w:name="_Toc198211266"/>
      <w:bookmarkStart w:id="819" w:name="_Toc204448646"/>
      <w:bookmarkStart w:id="820" w:name="_Toc198918557"/>
      <w:bookmarkStart w:id="821" w:name="_Toc208854252"/>
      <w:bookmarkStart w:id="822" w:name="_Toc196300384"/>
      <w:r>
        <w:rPr>
          <w:rFonts w:hint="eastAsia" w:ascii="宋体" w:hAnsi="宋体" w:eastAsia="宋体" w:cs="宋体"/>
          <w:color w:val="000000" w:themeColor="text1"/>
          <w14:textFill>
            <w14:solidFill>
              <w14:schemeClr w14:val="tx1"/>
            </w14:solidFill>
          </w14:textFill>
        </w:rPr>
        <w:t>判定规则：出厂检验如有不合格项，可修正后复检，复检仍不合格则判定该设备不合格，其中安全性能不可复检。</w:t>
      </w:r>
      <w:bookmarkEnd w:id="818"/>
      <w:bookmarkEnd w:id="819"/>
      <w:bookmarkEnd w:id="820"/>
      <w:bookmarkEnd w:id="821"/>
      <w:bookmarkEnd w:id="822"/>
    </w:p>
    <w:p w14:paraId="34E93653">
      <w:pPr>
        <w:pStyle w:val="268"/>
        <w:numPr>
          <w:ilvl w:val="3"/>
          <w:numId w:val="35"/>
        </w:numPr>
        <w:spacing w:before="0" w:beforeLines="0" w:after="0" w:afterLines="0" w:line="240" w:lineRule="auto"/>
        <w:jc w:val="both"/>
        <w:outlineLvl w:val="2"/>
        <w:rPr>
          <w:rFonts w:hint="eastAsia" w:ascii="宋体" w:hAnsi="宋体" w:eastAsia="宋体" w:cs="宋体"/>
          <w:color w:val="000000" w:themeColor="text1"/>
          <w14:textFill>
            <w14:solidFill>
              <w14:schemeClr w14:val="tx1"/>
            </w14:solidFill>
          </w14:textFill>
        </w:rPr>
      </w:pPr>
      <w:bookmarkStart w:id="823" w:name="_Toc198918558"/>
      <w:bookmarkStart w:id="824" w:name="_Toc208854253"/>
      <w:bookmarkStart w:id="825" w:name="_Toc204448647"/>
      <w:bookmarkStart w:id="826" w:name="_Toc198211267"/>
      <w:r>
        <w:rPr>
          <w:rFonts w:hint="eastAsia" w:ascii="宋体" w:hAnsi="宋体" w:eastAsia="宋体" w:cs="宋体"/>
          <w:color w:val="000000" w:themeColor="text1"/>
          <w14:textFill>
            <w14:solidFill>
              <w14:schemeClr w14:val="tx1"/>
            </w14:solidFill>
          </w14:textFill>
        </w:rPr>
        <w:t>设备应经过制造厂检验部门检验合格，并签发合格证后方可出厂。</w:t>
      </w:r>
      <w:bookmarkEnd w:id="823"/>
      <w:bookmarkEnd w:id="824"/>
      <w:bookmarkEnd w:id="825"/>
      <w:bookmarkEnd w:id="826"/>
    </w:p>
    <w:bookmarkEnd w:id="814"/>
    <w:bookmarkEnd w:id="815"/>
    <w:bookmarkEnd w:id="816"/>
    <w:bookmarkEnd w:id="817"/>
    <w:p w14:paraId="71D5EA63">
      <w:pPr>
        <w:pStyle w:val="268"/>
        <w:numPr>
          <w:ilvl w:val="2"/>
          <w:numId w:val="35"/>
        </w:numPr>
        <w:spacing w:before="120" w:beforeLines="50" w:after="120" w:afterLines="50" w:line="240" w:lineRule="auto"/>
        <w:jc w:val="both"/>
        <w:outlineLvl w:val="1"/>
        <w:rPr>
          <w:rFonts w:hint="eastAsia"/>
        </w:rPr>
      </w:pPr>
      <w:bookmarkStart w:id="827" w:name="_Toc196411999"/>
      <w:bookmarkEnd w:id="827"/>
      <w:bookmarkStart w:id="828" w:name="_Toc4073"/>
      <w:bookmarkStart w:id="829" w:name="_Toc31826"/>
      <w:bookmarkStart w:id="830" w:name="_Toc196412004"/>
      <w:bookmarkStart w:id="831" w:name="_Toc208854254"/>
      <w:bookmarkStart w:id="832" w:name="_Toc30992"/>
      <w:bookmarkStart w:id="833" w:name="_Toc14301"/>
      <w:bookmarkStart w:id="834" w:name="_Toc30186"/>
      <w:bookmarkStart w:id="835" w:name="_Toc3767"/>
      <w:bookmarkStart w:id="836" w:name="_Hlk106987530"/>
      <w:r>
        <w:rPr>
          <w:rFonts w:hint="eastAsia"/>
        </w:rPr>
        <w:t>安装和调试检验</w:t>
      </w:r>
      <w:bookmarkEnd w:id="828"/>
      <w:bookmarkEnd w:id="829"/>
      <w:bookmarkEnd w:id="830"/>
      <w:bookmarkEnd w:id="831"/>
      <w:bookmarkEnd w:id="832"/>
      <w:bookmarkEnd w:id="833"/>
      <w:bookmarkEnd w:id="834"/>
      <w:bookmarkEnd w:id="835"/>
    </w:p>
    <w:p w14:paraId="368DC8CF">
      <w:pPr>
        <w:pStyle w:val="268"/>
        <w:numPr>
          <w:ilvl w:val="3"/>
          <w:numId w:val="35"/>
        </w:numPr>
        <w:spacing w:before="0" w:beforeLines="0" w:after="0" w:afterLines="0" w:line="240" w:lineRule="auto"/>
        <w:jc w:val="both"/>
        <w:outlineLvl w:val="2"/>
        <w:rPr>
          <w:rFonts w:hint="eastAsia" w:ascii="宋体" w:hAnsi="宋体" w:eastAsia="宋体"/>
          <w:szCs w:val="24"/>
        </w:rPr>
      </w:pPr>
      <w:bookmarkStart w:id="837" w:name="_Toc196412005"/>
      <w:bookmarkStart w:id="838" w:name="_Toc196300386"/>
      <w:bookmarkStart w:id="839" w:name="_Toc208854255"/>
      <w:bookmarkStart w:id="840" w:name="_Toc204448649"/>
      <w:r>
        <w:rPr>
          <w:rFonts w:hint="eastAsia" w:ascii="宋体" w:hAnsi="宋体" w:eastAsia="宋体"/>
          <w:szCs w:val="24"/>
        </w:rPr>
        <w:t>检验项目：</w:t>
      </w:r>
      <w:bookmarkEnd w:id="837"/>
      <w:bookmarkEnd w:id="838"/>
      <w:r>
        <w:rPr>
          <w:rFonts w:hint="eastAsia" w:ascii="宋体" w:hAnsi="宋体" w:eastAsia="宋体"/>
          <w:szCs w:val="24"/>
        </w:rPr>
        <w:t>设备均应进行安装和调试检验，检验项目见表2。</w:t>
      </w:r>
      <w:bookmarkEnd w:id="839"/>
      <w:bookmarkEnd w:id="840"/>
    </w:p>
    <w:p w14:paraId="785D75F4">
      <w:pPr>
        <w:pStyle w:val="268"/>
        <w:numPr>
          <w:ilvl w:val="3"/>
          <w:numId w:val="35"/>
        </w:numPr>
        <w:spacing w:before="0" w:beforeLines="0" w:after="0" w:afterLines="0" w:line="240" w:lineRule="auto"/>
        <w:jc w:val="both"/>
        <w:outlineLvl w:val="2"/>
        <w:rPr>
          <w:rFonts w:hint="eastAsia" w:ascii="宋体" w:hAnsi="宋体" w:eastAsia="宋体" w:cs="宋体"/>
        </w:rPr>
      </w:pPr>
      <w:bookmarkStart w:id="841" w:name="_Toc196412006"/>
      <w:bookmarkStart w:id="842" w:name="_Toc204448650"/>
      <w:bookmarkStart w:id="843" w:name="_Toc208854256"/>
      <w:r>
        <w:rPr>
          <w:rFonts w:hint="eastAsia" w:ascii="宋体" w:hAnsi="宋体" w:eastAsia="宋体" w:cs="宋体"/>
          <w:color w:val="000000"/>
        </w:rPr>
        <w:t>判定规则：设备安装和调试检验如有不合格项，允许修正后复检，复检仍不合格则判定该每套成套设备不合格。其中安全性能不可复检</w:t>
      </w:r>
      <w:r>
        <w:rPr>
          <w:rFonts w:hint="eastAsia" w:ascii="宋体" w:hAnsi="宋体" w:eastAsia="宋体" w:cs="宋体"/>
        </w:rPr>
        <w:t>。</w:t>
      </w:r>
      <w:bookmarkEnd w:id="841"/>
      <w:bookmarkEnd w:id="842"/>
      <w:bookmarkEnd w:id="843"/>
    </w:p>
    <w:p w14:paraId="3482F9CB">
      <w:pPr>
        <w:pStyle w:val="268"/>
        <w:numPr>
          <w:ilvl w:val="2"/>
          <w:numId w:val="35"/>
        </w:numPr>
        <w:spacing w:before="120" w:beforeLines="50" w:after="120" w:afterLines="50" w:line="240" w:lineRule="auto"/>
        <w:jc w:val="both"/>
        <w:outlineLvl w:val="1"/>
        <w:rPr>
          <w:rFonts w:hint="eastAsia"/>
        </w:rPr>
      </w:pPr>
      <w:bookmarkStart w:id="844" w:name="_Toc3196"/>
      <w:bookmarkStart w:id="845" w:name="_Toc2641"/>
      <w:bookmarkStart w:id="846" w:name="_Toc17333"/>
      <w:bookmarkStart w:id="847" w:name="_Toc15190"/>
      <w:bookmarkStart w:id="848" w:name="_Toc26626"/>
      <w:bookmarkStart w:id="849" w:name="_Toc208854257"/>
      <w:bookmarkStart w:id="850" w:name="_Toc196412007"/>
      <w:bookmarkStart w:id="851" w:name="_Toc15511"/>
      <w:r>
        <w:rPr>
          <w:rFonts w:hint="eastAsia"/>
        </w:rPr>
        <w:t>型式检验</w:t>
      </w:r>
      <w:bookmarkEnd w:id="844"/>
      <w:bookmarkEnd w:id="845"/>
      <w:bookmarkEnd w:id="846"/>
      <w:bookmarkEnd w:id="847"/>
      <w:bookmarkEnd w:id="848"/>
      <w:bookmarkEnd w:id="849"/>
      <w:bookmarkEnd w:id="850"/>
      <w:bookmarkEnd w:id="851"/>
    </w:p>
    <w:bookmarkEnd w:id="836"/>
    <w:p w14:paraId="1FB5A6CE">
      <w:pPr>
        <w:pStyle w:val="268"/>
        <w:numPr>
          <w:ilvl w:val="3"/>
          <w:numId w:val="35"/>
        </w:numPr>
        <w:spacing w:before="0" w:beforeLines="0" w:after="0" w:afterLines="0" w:line="240" w:lineRule="auto"/>
        <w:jc w:val="both"/>
        <w:outlineLvl w:val="2"/>
        <w:rPr>
          <w:rFonts w:hint="eastAsia" w:ascii="宋体" w:hAnsi="宋体" w:eastAsia="宋体"/>
          <w:szCs w:val="24"/>
        </w:rPr>
      </w:pPr>
      <w:bookmarkStart w:id="852" w:name="_Toc208854258"/>
      <w:bookmarkStart w:id="853" w:name="_Toc204448652"/>
      <w:r>
        <w:rPr>
          <w:rFonts w:hint="eastAsia" w:ascii="宋体" w:hAnsi="宋体" w:eastAsia="宋体"/>
          <w:szCs w:val="24"/>
        </w:rPr>
        <w:t>有下列情况之一时，应对设备进行型式检验：</w:t>
      </w:r>
      <w:bookmarkEnd w:id="852"/>
      <w:bookmarkEnd w:id="853"/>
    </w:p>
    <w:p w14:paraId="16CD004F">
      <w:pPr>
        <w:pStyle w:val="260"/>
        <w:spacing w:line="240" w:lineRule="auto"/>
        <w:ind w:left="840" w:hanging="420"/>
        <w:jc w:val="both"/>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——新设备或老设备转厂生产时；</w:t>
      </w:r>
    </w:p>
    <w:p w14:paraId="51919783">
      <w:pPr>
        <w:pStyle w:val="260"/>
        <w:spacing w:line="240" w:lineRule="auto"/>
        <w:ind w:left="840" w:hanging="420"/>
        <w:jc w:val="both"/>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——正式生产后，结构、材料、工艺等有较大改变，可能影响设备性能时；</w:t>
      </w:r>
    </w:p>
    <w:p w14:paraId="596E5B00">
      <w:pPr>
        <w:pStyle w:val="65"/>
        <w:ind w:left="840" w:leftChars="200" w:hanging="420" w:hangingChars="200"/>
        <w:rPr>
          <w:rFonts w:hint="eastAsia" w:hAnsi="宋体" w:cs="宋体"/>
        </w:rPr>
      </w:pPr>
      <w:r>
        <w:rPr>
          <w:rFonts w:hint="eastAsia" w:hAnsi="宋体" w:cs="宋体"/>
          <w:color w:val="000000"/>
        </w:rPr>
        <w:t>——</w:t>
      </w:r>
      <w:r>
        <w:rPr>
          <w:rFonts w:hint="eastAsia" w:hAnsi="宋体" w:cs="宋体"/>
        </w:rPr>
        <w:t>正常生产条件下，定期或周期性抽查检验时；</w:t>
      </w:r>
    </w:p>
    <w:p w14:paraId="79A5E3BE">
      <w:pPr>
        <w:pStyle w:val="260"/>
        <w:spacing w:line="240" w:lineRule="auto"/>
        <w:ind w:left="840" w:hanging="420"/>
        <w:jc w:val="both"/>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hint="eastAsia" w:ascii="宋体" w:hAnsi="宋体" w:cs="宋体"/>
        </w:rPr>
        <w:t>停产1年后，恢复生产时</w:t>
      </w:r>
      <w:r>
        <w:rPr>
          <w:rFonts w:hint="eastAsia" w:ascii="宋体" w:hAnsi="宋体" w:cs="宋体"/>
          <w:color w:val="000000"/>
        </w:rPr>
        <w:t>；</w:t>
      </w:r>
    </w:p>
    <w:p w14:paraId="6C1EDA92">
      <w:pPr>
        <w:pStyle w:val="260"/>
        <w:spacing w:line="240" w:lineRule="auto"/>
        <w:ind w:left="840" w:hanging="420"/>
        <w:jc w:val="both"/>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——出厂检验结果与上次型式检验有较大差异时；</w:t>
      </w:r>
    </w:p>
    <w:p w14:paraId="76B3F844">
      <w:pPr>
        <w:pStyle w:val="260"/>
        <w:spacing w:line="240" w:lineRule="auto"/>
        <w:ind w:left="840" w:hanging="420"/>
        <w:jc w:val="both"/>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——国家</w:t>
      </w:r>
      <w:r>
        <w:rPr>
          <w:rFonts w:hint="eastAsia" w:ascii="宋体" w:hAnsi="宋体" w:cs="宋体"/>
          <w:color w:val="000000"/>
        </w:rPr>
        <w:t>有关主管部门</w:t>
      </w:r>
      <w:r>
        <w:rPr>
          <w:rFonts w:hint="eastAsia" w:ascii="宋体" w:hAnsi="宋体" w:cs="宋体"/>
          <w:color w:val="000000" w:themeColor="text1"/>
          <w14:textFill>
            <w14:solidFill>
              <w14:schemeClr w14:val="tx1"/>
            </w14:solidFill>
          </w14:textFill>
        </w:rPr>
        <w:t>提出进行型式检验的要求；</w:t>
      </w:r>
    </w:p>
    <w:p w14:paraId="714831D3">
      <w:pPr>
        <w:pStyle w:val="65"/>
        <w:ind w:left="840" w:leftChars="200" w:hanging="420" w:hangingChars="200"/>
        <w:rPr>
          <w:rFonts w:hint="eastAsia" w:hAnsi="宋体" w:cs="宋体"/>
          <w:color w:val="000000"/>
        </w:rPr>
      </w:pPr>
      <w:r>
        <w:rPr>
          <w:rFonts w:hint="eastAsia" w:hAnsi="宋体" w:cs="宋体"/>
          <w:color w:val="000000"/>
        </w:rPr>
        <w:t>——使用方有重大问题反馈时。</w:t>
      </w:r>
    </w:p>
    <w:p w14:paraId="79AC65DB">
      <w:pPr>
        <w:pStyle w:val="268"/>
        <w:numPr>
          <w:ilvl w:val="3"/>
          <w:numId w:val="35"/>
        </w:numPr>
        <w:spacing w:before="0" w:beforeLines="0" w:after="0" w:afterLines="0" w:line="240" w:lineRule="auto"/>
        <w:jc w:val="both"/>
        <w:outlineLvl w:val="2"/>
        <w:rPr>
          <w:rFonts w:hint="eastAsia" w:ascii="宋体" w:hAnsi="宋体" w:eastAsia="宋体"/>
          <w:szCs w:val="24"/>
        </w:rPr>
      </w:pPr>
      <w:bookmarkStart w:id="854" w:name="_Toc208854259"/>
      <w:bookmarkStart w:id="855" w:name="_Toc204448653"/>
      <w:r>
        <w:rPr>
          <w:rFonts w:hint="eastAsia" w:ascii="宋体" w:hAnsi="宋体" w:eastAsia="宋体"/>
          <w:szCs w:val="24"/>
        </w:rPr>
        <w:t>抽样及判定规则：从出厂检验合格的设备中随机抽样，每次抽样1台。按表2进行型式检验，全部项目合格则判型式检验合格；如有不合格项，应加倍抽样，对不合格项进行复检，复检再不合格，则型式检验不合格。其中安全性能不允许复检。</w:t>
      </w:r>
      <w:bookmarkEnd w:id="854"/>
      <w:bookmarkEnd w:id="855"/>
    </w:p>
    <w:p w14:paraId="65CC8CA6">
      <w:pPr>
        <w:pStyle w:val="268"/>
        <w:numPr>
          <w:ilvl w:val="1"/>
          <w:numId w:val="35"/>
        </w:numPr>
        <w:adjustRightInd w:val="0"/>
        <w:snapToGrid w:val="0"/>
        <w:spacing w:before="240" w:after="240" w:line="240" w:lineRule="auto"/>
        <w:jc w:val="both"/>
        <w:rPr>
          <w:rFonts w:hint="eastAsia" w:hAnsi="黑体" w:cs="宋体"/>
          <w:kern w:val="0"/>
        </w:rPr>
      </w:pPr>
      <w:bookmarkStart w:id="856" w:name="_Toc103873521"/>
      <w:bookmarkEnd w:id="856"/>
      <w:bookmarkStart w:id="857" w:name="_Toc103873523"/>
      <w:bookmarkEnd w:id="857"/>
      <w:bookmarkStart w:id="858" w:name="_Toc103786118"/>
      <w:bookmarkEnd w:id="858"/>
      <w:bookmarkStart w:id="859" w:name="_Toc103786117"/>
      <w:bookmarkEnd w:id="859"/>
      <w:bookmarkStart w:id="860" w:name="_Toc103873522"/>
      <w:bookmarkEnd w:id="860"/>
      <w:bookmarkStart w:id="861" w:name="_Toc103786116"/>
      <w:bookmarkEnd w:id="861"/>
      <w:bookmarkStart w:id="862" w:name="_Toc1699"/>
      <w:bookmarkStart w:id="863" w:name="_Toc76532492"/>
      <w:bookmarkStart w:id="864" w:name="_Toc31697"/>
      <w:bookmarkStart w:id="865" w:name="_Toc76532371"/>
      <w:bookmarkStart w:id="866" w:name="_Toc76902184"/>
      <w:bookmarkStart w:id="867" w:name="_Toc196412008"/>
      <w:bookmarkStart w:id="868" w:name="_Toc208854260"/>
      <w:bookmarkStart w:id="869" w:name="_Toc77186026"/>
      <w:bookmarkStart w:id="870" w:name="_Toc25882"/>
      <w:bookmarkStart w:id="871" w:name="_Toc77186089"/>
      <w:bookmarkStart w:id="872" w:name="_Toc94260001"/>
      <w:bookmarkStart w:id="873" w:name="_Toc16257"/>
      <w:bookmarkStart w:id="874" w:name="_Toc85527794"/>
      <w:bookmarkStart w:id="875" w:name="_Toc85527731"/>
      <w:bookmarkStart w:id="876" w:name="_Toc25400"/>
      <w:bookmarkStart w:id="877" w:name="_Toc18290"/>
      <w:bookmarkStart w:id="878" w:name="_Hlk107127814"/>
      <w:r>
        <w:rPr>
          <w:rFonts w:hint="eastAsia" w:hAnsi="黑体" w:cs="宋体"/>
          <w:kern w:val="0"/>
        </w:rPr>
        <w:t>标志、包装、运输和贮存</w:t>
      </w:r>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p>
    <w:p w14:paraId="733CB383">
      <w:pPr>
        <w:pStyle w:val="268"/>
        <w:numPr>
          <w:ilvl w:val="2"/>
          <w:numId w:val="35"/>
        </w:numPr>
        <w:spacing w:before="120" w:beforeLines="50" w:after="120" w:afterLines="50" w:line="240" w:lineRule="auto"/>
        <w:jc w:val="both"/>
        <w:outlineLvl w:val="1"/>
        <w:rPr>
          <w:rFonts w:hint="eastAsia"/>
        </w:rPr>
      </w:pPr>
      <w:bookmarkStart w:id="879" w:name="_Toc13832"/>
      <w:bookmarkStart w:id="880" w:name="_Toc22237"/>
      <w:bookmarkStart w:id="881" w:name="_Toc77186090"/>
      <w:bookmarkStart w:id="882" w:name="_Toc28600"/>
      <w:bookmarkStart w:id="883" w:name="_Toc11674"/>
      <w:bookmarkStart w:id="884" w:name="_Toc8542"/>
      <w:bookmarkStart w:id="885" w:name="_Toc196412009"/>
      <w:bookmarkStart w:id="886" w:name="_Toc94260002"/>
      <w:bookmarkStart w:id="887" w:name="_Toc208854261"/>
      <w:bookmarkStart w:id="888" w:name="_Toc85527795"/>
      <w:bookmarkStart w:id="889" w:name="_Toc31988"/>
      <w:r>
        <w:rPr>
          <w:rFonts w:hint="eastAsia"/>
        </w:rPr>
        <w:t>标志</w:t>
      </w:r>
      <w:bookmarkEnd w:id="879"/>
      <w:bookmarkEnd w:id="880"/>
      <w:bookmarkEnd w:id="881"/>
      <w:bookmarkEnd w:id="882"/>
      <w:bookmarkEnd w:id="883"/>
      <w:bookmarkEnd w:id="884"/>
      <w:bookmarkEnd w:id="885"/>
      <w:bookmarkEnd w:id="886"/>
      <w:bookmarkEnd w:id="887"/>
      <w:bookmarkEnd w:id="888"/>
      <w:bookmarkEnd w:id="889"/>
    </w:p>
    <w:bookmarkEnd w:id="878"/>
    <w:p w14:paraId="7ABFA86A">
      <w:pPr>
        <w:pStyle w:val="268"/>
        <w:numPr>
          <w:ilvl w:val="3"/>
          <w:numId w:val="35"/>
        </w:numPr>
        <w:spacing w:before="0" w:beforeLines="0" w:after="0" w:afterLines="0" w:line="240" w:lineRule="auto"/>
        <w:jc w:val="both"/>
        <w:outlineLvl w:val="2"/>
        <w:rPr>
          <w:rFonts w:hint="eastAsia" w:ascii="宋体" w:hAnsi="宋体" w:eastAsia="宋体" w:cs="宋体"/>
          <w:color w:val="000000" w:themeColor="text1"/>
          <w14:textFill>
            <w14:solidFill>
              <w14:schemeClr w14:val="tx1"/>
            </w14:solidFill>
          </w14:textFill>
        </w:rPr>
      </w:pPr>
      <w:bookmarkStart w:id="890" w:name="_Toc196412010"/>
      <w:bookmarkStart w:id="891" w:name="_Toc208854262"/>
      <w:bookmarkStart w:id="892" w:name="_Toc204448656"/>
      <w:bookmarkStart w:id="893" w:name="_Toc196300392"/>
      <w:r>
        <w:rPr>
          <w:rFonts w:hint="eastAsia" w:ascii="宋体" w:hAnsi="宋体" w:eastAsia="宋体" w:cs="宋体"/>
          <w:color w:val="000000"/>
        </w:rPr>
        <w:t>标牌应固定在设备的明显位置，标牌的技术要求应符合GB/T 13306的规定。除安全警示标志外，标牌还应包括但不限于下列内容：</w:t>
      </w:r>
      <w:bookmarkEnd w:id="890"/>
      <w:bookmarkEnd w:id="891"/>
      <w:bookmarkEnd w:id="892"/>
      <w:bookmarkEnd w:id="893"/>
    </w:p>
    <w:p w14:paraId="25ACE637">
      <w:pPr>
        <w:pStyle w:val="260"/>
        <w:spacing w:line="240" w:lineRule="auto"/>
        <w:ind w:left="840" w:hanging="420"/>
        <w:jc w:val="both"/>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——制造企业名称（商标）；</w:t>
      </w:r>
    </w:p>
    <w:p w14:paraId="7508A19F">
      <w:pPr>
        <w:pStyle w:val="260"/>
        <w:spacing w:line="240" w:lineRule="auto"/>
        <w:ind w:left="840" w:hanging="420"/>
        <w:jc w:val="both"/>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——设备名称、型号；</w:t>
      </w:r>
    </w:p>
    <w:p w14:paraId="672D4233">
      <w:pPr>
        <w:pStyle w:val="260"/>
        <w:spacing w:line="240" w:lineRule="auto"/>
        <w:ind w:left="840" w:hanging="420"/>
        <w:jc w:val="both"/>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——制造日期、出厂编号；</w:t>
      </w:r>
    </w:p>
    <w:p w14:paraId="4E519F07">
      <w:pPr>
        <w:pStyle w:val="260"/>
        <w:spacing w:line="240" w:lineRule="auto"/>
        <w:ind w:left="840" w:hanging="420"/>
        <w:jc w:val="both"/>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——主要技术参数；</w:t>
      </w:r>
    </w:p>
    <w:p w14:paraId="2C4EBD17">
      <w:pPr>
        <w:pStyle w:val="260"/>
        <w:spacing w:line="240" w:lineRule="auto"/>
        <w:ind w:left="840" w:hanging="420"/>
        <w:jc w:val="both"/>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——设备执行标准编号。</w:t>
      </w:r>
    </w:p>
    <w:p w14:paraId="63B8E442">
      <w:pPr>
        <w:pStyle w:val="268"/>
        <w:numPr>
          <w:ilvl w:val="3"/>
          <w:numId w:val="35"/>
        </w:numPr>
        <w:spacing w:before="0" w:beforeLines="0" w:after="0" w:afterLines="0" w:line="240" w:lineRule="auto"/>
        <w:jc w:val="both"/>
        <w:outlineLvl w:val="2"/>
        <w:rPr>
          <w:rFonts w:hint="eastAsia" w:ascii="宋体" w:hAnsi="宋体" w:eastAsia="宋体" w:cs="宋体"/>
        </w:rPr>
      </w:pPr>
      <w:bookmarkStart w:id="894" w:name="_Toc196412011"/>
      <w:bookmarkStart w:id="895" w:name="_Toc204448657"/>
      <w:bookmarkStart w:id="896" w:name="_Toc208854263"/>
      <w:r>
        <w:rPr>
          <w:rFonts w:hint="eastAsia" w:ascii="宋体" w:hAnsi="宋体" w:eastAsia="宋体" w:cs="宋体"/>
          <w:color w:val="000000"/>
        </w:rPr>
        <w:t>成套设备应有清晰的安全警示标志，安全警示标志应符合GB 2894的规定。</w:t>
      </w:r>
      <w:bookmarkEnd w:id="894"/>
      <w:bookmarkEnd w:id="895"/>
      <w:bookmarkEnd w:id="896"/>
    </w:p>
    <w:p w14:paraId="4719AE10">
      <w:pPr>
        <w:pStyle w:val="268"/>
        <w:numPr>
          <w:ilvl w:val="2"/>
          <w:numId w:val="35"/>
        </w:numPr>
        <w:spacing w:before="120" w:beforeLines="50" w:after="120" w:afterLines="50" w:line="240" w:lineRule="auto"/>
        <w:jc w:val="both"/>
        <w:outlineLvl w:val="1"/>
        <w:rPr>
          <w:rFonts w:hint="eastAsia"/>
        </w:rPr>
      </w:pPr>
      <w:bookmarkStart w:id="897" w:name="_Toc208854264"/>
      <w:bookmarkStart w:id="898" w:name="_Toc94260003"/>
      <w:bookmarkStart w:id="899" w:name="_Toc20268"/>
      <w:bookmarkStart w:id="900" w:name="_Toc11223"/>
      <w:bookmarkStart w:id="901" w:name="_Toc339"/>
      <w:bookmarkStart w:id="902" w:name="_Toc77186091"/>
      <w:bookmarkStart w:id="903" w:name="_Toc85527796"/>
      <w:bookmarkStart w:id="904" w:name="_Toc13981"/>
      <w:bookmarkStart w:id="905" w:name="_Toc12923"/>
      <w:bookmarkStart w:id="906" w:name="_Toc27419"/>
      <w:bookmarkStart w:id="907" w:name="_Toc196412018"/>
      <w:bookmarkStart w:id="908" w:name="_Hlk107127850"/>
      <w:r>
        <w:rPr>
          <w:rFonts w:hint="eastAsia"/>
        </w:rPr>
        <w:t>包装</w:t>
      </w:r>
      <w:bookmarkEnd w:id="897"/>
      <w:bookmarkEnd w:id="898"/>
      <w:bookmarkEnd w:id="899"/>
      <w:bookmarkEnd w:id="900"/>
      <w:bookmarkEnd w:id="901"/>
      <w:bookmarkEnd w:id="902"/>
      <w:bookmarkEnd w:id="903"/>
      <w:bookmarkEnd w:id="904"/>
      <w:bookmarkEnd w:id="905"/>
      <w:bookmarkEnd w:id="906"/>
      <w:bookmarkEnd w:id="907"/>
    </w:p>
    <w:bookmarkEnd w:id="908"/>
    <w:p w14:paraId="3F377FD8">
      <w:pPr>
        <w:pStyle w:val="268"/>
        <w:numPr>
          <w:ilvl w:val="3"/>
          <w:numId w:val="35"/>
        </w:numPr>
        <w:spacing w:before="0" w:beforeLines="0" w:after="0" w:afterLines="0" w:line="240" w:lineRule="auto"/>
        <w:jc w:val="both"/>
        <w:outlineLvl w:val="2"/>
        <w:rPr>
          <w:rFonts w:hint="eastAsia" w:ascii="宋体" w:hAnsi="宋体" w:eastAsia="宋体" w:cs="宋体"/>
        </w:rPr>
      </w:pPr>
      <w:bookmarkStart w:id="909" w:name="_Toc204448659"/>
      <w:bookmarkStart w:id="910" w:name="_Toc208854265"/>
      <w:r>
        <w:rPr>
          <w:rFonts w:hint="eastAsia" w:ascii="宋体" w:hAnsi="宋体" w:eastAsia="宋体" w:cs="宋体"/>
        </w:rPr>
        <w:t>成套设备的包装应符合GB/T 13384和SB/T 229的规定。</w:t>
      </w:r>
      <w:bookmarkEnd w:id="909"/>
      <w:bookmarkEnd w:id="910"/>
    </w:p>
    <w:p w14:paraId="4F3047C0">
      <w:pPr>
        <w:pStyle w:val="268"/>
        <w:numPr>
          <w:ilvl w:val="3"/>
          <w:numId w:val="35"/>
        </w:numPr>
        <w:spacing w:before="0" w:beforeLines="0" w:after="0" w:afterLines="0" w:line="240" w:lineRule="auto"/>
        <w:jc w:val="both"/>
        <w:outlineLvl w:val="2"/>
        <w:rPr>
          <w:rFonts w:hint="eastAsia" w:ascii="宋体" w:hAnsi="宋体" w:eastAsia="宋体" w:cs="宋体"/>
        </w:rPr>
      </w:pPr>
      <w:bookmarkStart w:id="911" w:name="_Toc204448660"/>
      <w:bookmarkStart w:id="912" w:name="_Toc208854266"/>
      <w:r>
        <w:rPr>
          <w:rFonts w:hint="eastAsia" w:ascii="宋体" w:hAnsi="宋体" w:eastAsia="宋体" w:cs="宋体"/>
        </w:rPr>
        <w:t>成套设备包装箱应牢固可靠，适应运输装卸的要求。</w:t>
      </w:r>
      <w:bookmarkEnd w:id="911"/>
      <w:bookmarkEnd w:id="912"/>
    </w:p>
    <w:p w14:paraId="0A3D7921">
      <w:pPr>
        <w:pStyle w:val="268"/>
        <w:numPr>
          <w:ilvl w:val="3"/>
          <w:numId w:val="35"/>
        </w:numPr>
        <w:spacing w:before="0" w:beforeLines="0" w:after="0" w:afterLines="0" w:line="240" w:lineRule="auto"/>
        <w:jc w:val="both"/>
        <w:outlineLvl w:val="2"/>
        <w:rPr>
          <w:rFonts w:hint="eastAsia" w:ascii="宋体" w:hAnsi="宋体" w:eastAsia="宋体" w:cs="宋体"/>
        </w:rPr>
      </w:pPr>
      <w:bookmarkStart w:id="913" w:name="_Toc208854267"/>
      <w:bookmarkStart w:id="914" w:name="_Toc204448661"/>
      <w:r>
        <w:rPr>
          <w:rFonts w:hint="eastAsia" w:ascii="宋体" w:hAnsi="宋体" w:eastAsia="宋体" w:cs="宋体"/>
        </w:rPr>
        <w:t>成套设备随机专用工具及易损件应单独包装，主要零部件应罩上塑料薄膜后装入包装箱内，不得装入包装箱内的零部件应做好包装防护，主件、附件均要适合运输装卸的要求。</w:t>
      </w:r>
      <w:bookmarkEnd w:id="913"/>
      <w:bookmarkEnd w:id="914"/>
    </w:p>
    <w:p w14:paraId="735C9B6F">
      <w:pPr>
        <w:pStyle w:val="268"/>
        <w:numPr>
          <w:ilvl w:val="3"/>
          <w:numId w:val="35"/>
        </w:numPr>
        <w:spacing w:before="0" w:beforeLines="0" w:after="0" w:afterLines="0" w:line="240" w:lineRule="auto"/>
        <w:jc w:val="both"/>
        <w:outlineLvl w:val="2"/>
        <w:rPr>
          <w:rFonts w:hint="eastAsia" w:ascii="宋体" w:hAnsi="宋体" w:eastAsia="宋体" w:cs="宋体"/>
        </w:rPr>
      </w:pPr>
      <w:bookmarkStart w:id="915" w:name="_Toc204448662"/>
      <w:bookmarkStart w:id="916" w:name="_Toc208854268"/>
      <w:r>
        <w:rPr>
          <w:rFonts w:hint="eastAsia" w:ascii="宋体" w:hAnsi="宋体" w:eastAsia="宋体" w:cs="宋体"/>
          <w:color w:val="000000"/>
        </w:rPr>
        <w:t>成套设备包装内应有装箱单、合格证、使用说明书、必要的随机备件及工具。</w:t>
      </w:r>
      <w:bookmarkEnd w:id="915"/>
      <w:bookmarkEnd w:id="916"/>
    </w:p>
    <w:p w14:paraId="42C3F739">
      <w:pPr>
        <w:pStyle w:val="268"/>
        <w:numPr>
          <w:ilvl w:val="3"/>
          <w:numId w:val="35"/>
        </w:numPr>
        <w:spacing w:before="0" w:beforeLines="0" w:after="0" w:afterLines="0" w:line="240" w:lineRule="auto"/>
        <w:jc w:val="both"/>
        <w:outlineLvl w:val="2"/>
        <w:rPr>
          <w:rFonts w:hint="eastAsia" w:ascii="宋体" w:hAnsi="宋体" w:eastAsia="宋体" w:cs="宋体"/>
        </w:rPr>
      </w:pPr>
      <w:bookmarkStart w:id="917" w:name="_Toc208854269"/>
      <w:bookmarkStart w:id="918" w:name="_Toc204448663"/>
      <w:r>
        <w:rPr>
          <w:rFonts w:hint="eastAsia" w:ascii="宋体" w:hAnsi="宋体" w:eastAsia="宋体" w:cs="宋体"/>
        </w:rPr>
        <w:t>成套设备外包装上应标注有“小心轻放”“向上”“防潮”等储运标志，应符合GB/T 191的规定。</w:t>
      </w:r>
      <w:bookmarkEnd w:id="917"/>
      <w:bookmarkEnd w:id="918"/>
    </w:p>
    <w:p w14:paraId="72F00FF5">
      <w:pPr>
        <w:pStyle w:val="268"/>
        <w:numPr>
          <w:ilvl w:val="3"/>
          <w:numId w:val="35"/>
        </w:numPr>
        <w:spacing w:before="0" w:beforeLines="0" w:after="0" w:afterLines="0" w:line="240" w:lineRule="auto"/>
        <w:jc w:val="both"/>
        <w:outlineLvl w:val="2"/>
        <w:rPr>
          <w:rFonts w:hint="eastAsia" w:ascii="宋体" w:hAnsi="宋体" w:eastAsia="宋体" w:cs="宋体"/>
        </w:rPr>
      </w:pPr>
      <w:bookmarkStart w:id="919" w:name="OLE_LINK1"/>
      <w:bookmarkStart w:id="920" w:name="OLE_LINK2"/>
      <w:bookmarkStart w:id="921" w:name="_Toc204448664"/>
      <w:bookmarkStart w:id="922" w:name="_Toc208854270"/>
      <w:r>
        <w:rPr>
          <w:rFonts w:hint="eastAsia" w:ascii="宋体" w:hAnsi="宋体" w:eastAsia="宋体" w:cs="宋体"/>
        </w:rPr>
        <w:t>成套设备</w:t>
      </w:r>
      <w:bookmarkEnd w:id="919"/>
      <w:bookmarkEnd w:id="920"/>
      <w:r>
        <w:rPr>
          <w:rFonts w:hint="eastAsia" w:ascii="宋体" w:hAnsi="宋体" w:eastAsia="宋体" w:cs="宋体"/>
        </w:rPr>
        <w:t>包装应有可靠的防湿防潮措施。</w:t>
      </w:r>
      <w:bookmarkEnd w:id="921"/>
      <w:bookmarkEnd w:id="922"/>
    </w:p>
    <w:p w14:paraId="7EA12A6D">
      <w:pPr>
        <w:pStyle w:val="268"/>
        <w:numPr>
          <w:ilvl w:val="2"/>
          <w:numId w:val="35"/>
        </w:numPr>
        <w:spacing w:before="120" w:beforeLines="50" w:after="120" w:afterLines="50" w:line="240" w:lineRule="auto"/>
        <w:jc w:val="both"/>
        <w:outlineLvl w:val="1"/>
        <w:rPr>
          <w:rFonts w:hint="eastAsia"/>
        </w:rPr>
      </w:pPr>
      <w:bookmarkStart w:id="923" w:name="_Toc28715"/>
      <w:bookmarkStart w:id="924" w:name="_Toc77186092"/>
      <w:bookmarkStart w:id="925" w:name="_Toc94260004"/>
      <w:bookmarkStart w:id="926" w:name="_Toc85527797"/>
      <w:bookmarkStart w:id="927" w:name="_Toc26176"/>
      <w:bookmarkStart w:id="928" w:name="_Toc196412019"/>
      <w:bookmarkStart w:id="929" w:name="_Toc208854271"/>
      <w:bookmarkStart w:id="930" w:name="_Toc32136"/>
      <w:bookmarkStart w:id="931" w:name="_Toc30251"/>
      <w:bookmarkStart w:id="932" w:name="_Toc15857"/>
      <w:bookmarkStart w:id="933" w:name="_Toc1032"/>
      <w:bookmarkStart w:id="934" w:name="_Hlk107127876"/>
      <w:r>
        <w:rPr>
          <w:rFonts w:hint="eastAsia"/>
        </w:rPr>
        <w:t>运输</w:t>
      </w:r>
      <w:bookmarkEnd w:id="923"/>
      <w:bookmarkEnd w:id="924"/>
      <w:bookmarkEnd w:id="925"/>
      <w:bookmarkEnd w:id="926"/>
      <w:bookmarkEnd w:id="927"/>
      <w:bookmarkEnd w:id="928"/>
      <w:bookmarkEnd w:id="929"/>
      <w:bookmarkEnd w:id="930"/>
      <w:bookmarkEnd w:id="931"/>
      <w:bookmarkEnd w:id="932"/>
      <w:bookmarkEnd w:id="933"/>
    </w:p>
    <w:bookmarkEnd w:id="934"/>
    <w:p w14:paraId="07E5A4B1">
      <w:pPr>
        <w:pStyle w:val="268"/>
        <w:numPr>
          <w:ilvl w:val="3"/>
          <w:numId w:val="35"/>
        </w:numPr>
        <w:spacing w:before="0" w:beforeLines="0" w:after="0" w:afterLines="0" w:line="240" w:lineRule="auto"/>
        <w:jc w:val="both"/>
        <w:outlineLvl w:val="2"/>
        <w:rPr>
          <w:rFonts w:hint="eastAsia" w:ascii="宋体" w:hAnsi="宋体" w:eastAsia="宋体" w:cs="宋体"/>
        </w:rPr>
      </w:pPr>
      <w:bookmarkStart w:id="935" w:name="_Toc208854272"/>
      <w:r>
        <w:rPr>
          <w:rFonts w:hint="eastAsia" w:ascii="宋体" w:hAnsi="宋体" w:eastAsia="宋体" w:cs="宋体"/>
        </w:rPr>
        <w:t>成套设备应按包装箱上的指定朝向置于运输工具上。</w:t>
      </w:r>
      <w:bookmarkEnd w:id="935"/>
    </w:p>
    <w:p w14:paraId="0FEBCEFB">
      <w:pPr>
        <w:pStyle w:val="268"/>
        <w:numPr>
          <w:ilvl w:val="3"/>
          <w:numId w:val="35"/>
        </w:numPr>
        <w:spacing w:before="0" w:beforeLines="0" w:after="0" w:afterLines="0" w:line="240" w:lineRule="auto"/>
        <w:jc w:val="both"/>
        <w:outlineLvl w:val="2"/>
        <w:rPr>
          <w:rFonts w:hint="eastAsia" w:ascii="宋体" w:hAnsi="宋体" w:eastAsia="宋体" w:cs="宋体"/>
        </w:rPr>
      </w:pPr>
      <w:bookmarkStart w:id="936" w:name="_Toc208854273"/>
      <w:r>
        <w:rPr>
          <w:rFonts w:hint="eastAsia" w:ascii="宋体" w:hAnsi="宋体" w:eastAsia="宋体" w:cs="宋体"/>
        </w:rPr>
        <w:t>各设备在运输过程中，应与运载车辆固定牢固，不应产生滑动、碰撞。</w:t>
      </w:r>
      <w:bookmarkEnd w:id="936"/>
    </w:p>
    <w:p w14:paraId="64701AE5">
      <w:pPr>
        <w:pStyle w:val="268"/>
        <w:numPr>
          <w:ilvl w:val="3"/>
          <w:numId w:val="35"/>
        </w:numPr>
        <w:spacing w:before="0" w:beforeLines="0" w:after="0" w:afterLines="0" w:line="240" w:lineRule="auto"/>
        <w:jc w:val="both"/>
        <w:outlineLvl w:val="2"/>
        <w:rPr>
          <w:rFonts w:hint="eastAsia" w:ascii="宋体" w:hAnsi="宋体" w:eastAsia="宋体" w:cs="宋体"/>
        </w:rPr>
      </w:pPr>
      <w:bookmarkStart w:id="937" w:name="_Toc208854274"/>
      <w:r>
        <w:rPr>
          <w:rFonts w:hint="eastAsia" w:ascii="宋体" w:hAnsi="宋体" w:eastAsia="宋体" w:cs="宋体"/>
        </w:rPr>
        <w:t>吊装工具不应与各设备表面接触刮擦，应小心轻放，避免倾翻。</w:t>
      </w:r>
      <w:bookmarkEnd w:id="937"/>
    </w:p>
    <w:p w14:paraId="3BC4A75F">
      <w:pPr>
        <w:pStyle w:val="268"/>
        <w:numPr>
          <w:ilvl w:val="3"/>
          <w:numId w:val="35"/>
        </w:numPr>
        <w:spacing w:before="0" w:beforeLines="0" w:after="0" w:afterLines="0" w:line="240" w:lineRule="auto"/>
        <w:jc w:val="both"/>
        <w:outlineLvl w:val="2"/>
        <w:rPr>
          <w:rFonts w:hint="eastAsia" w:ascii="宋体" w:hAnsi="宋体" w:eastAsia="宋体" w:cs="宋体"/>
        </w:rPr>
      </w:pPr>
      <w:bookmarkStart w:id="938" w:name="_Toc208854275"/>
      <w:r>
        <w:rPr>
          <w:rFonts w:hint="eastAsia" w:ascii="宋体" w:hAnsi="宋体" w:eastAsia="宋体" w:cs="宋体"/>
        </w:rPr>
        <w:t>各设备搬运时严禁碰撞，不应损坏设备。</w:t>
      </w:r>
      <w:bookmarkEnd w:id="938"/>
    </w:p>
    <w:p w14:paraId="0255BBBC">
      <w:pPr>
        <w:pStyle w:val="268"/>
        <w:numPr>
          <w:ilvl w:val="3"/>
          <w:numId w:val="35"/>
        </w:numPr>
        <w:spacing w:before="0" w:beforeLines="0" w:after="0" w:afterLines="0" w:line="240" w:lineRule="auto"/>
        <w:jc w:val="both"/>
        <w:outlineLvl w:val="2"/>
        <w:rPr>
          <w:rFonts w:hint="eastAsia" w:ascii="宋体" w:hAnsi="宋体" w:eastAsia="宋体" w:cs="宋体"/>
        </w:rPr>
      </w:pPr>
      <w:bookmarkStart w:id="939" w:name="_Toc208854276"/>
      <w:r>
        <w:rPr>
          <w:rFonts w:hint="eastAsia" w:ascii="宋体" w:hAnsi="宋体" w:eastAsia="宋体" w:cs="宋体"/>
          <w:color w:val="000000"/>
        </w:rPr>
        <w:t>成套</w:t>
      </w:r>
      <w:r>
        <w:rPr>
          <w:rFonts w:hint="eastAsia" w:ascii="宋体" w:hAnsi="宋体" w:eastAsia="宋体" w:cs="宋体"/>
          <w:color w:val="000000"/>
          <w:szCs w:val="20"/>
        </w:rPr>
        <w:t>设备运输时应避免雨淋。</w:t>
      </w:r>
      <w:bookmarkEnd w:id="939"/>
    </w:p>
    <w:p w14:paraId="2E0FD511">
      <w:pPr>
        <w:pStyle w:val="268"/>
        <w:numPr>
          <w:ilvl w:val="2"/>
          <w:numId w:val="35"/>
        </w:numPr>
        <w:spacing w:before="120" w:beforeLines="50" w:after="120" w:afterLines="50" w:line="240" w:lineRule="auto"/>
        <w:jc w:val="both"/>
        <w:outlineLvl w:val="1"/>
        <w:rPr>
          <w:rFonts w:hint="eastAsia" w:ascii="Times New Roman"/>
        </w:rPr>
      </w:pPr>
      <w:bookmarkStart w:id="940" w:name="_Toc196412020"/>
      <w:bookmarkStart w:id="941" w:name="_Toc20928"/>
      <w:bookmarkStart w:id="942" w:name="_Toc30960"/>
      <w:bookmarkStart w:id="943" w:name="_Toc208854277"/>
      <w:bookmarkStart w:id="944" w:name="_Toc77186093"/>
      <w:bookmarkStart w:id="945" w:name="_Toc94260005"/>
      <w:bookmarkStart w:id="946" w:name="_Toc85527798"/>
      <w:bookmarkStart w:id="947" w:name="_Toc12162"/>
      <w:bookmarkStart w:id="948" w:name="_Toc27586"/>
      <w:bookmarkStart w:id="949" w:name="_Toc19885"/>
      <w:bookmarkStart w:id="950" w:name="_Toc24708"/>
      <w:r>
        <w:rPr>
          <w:rFonts w:hint="eastAsia"/>
        </w:rPr>
        <w:t>贮存</w:t>
      </w:r>
      <w:bookmarkEnd w:id="940"/>
      <w:bookmarkEnd w:id="941"/>
      <w:bookmarkEnd w:id="942"/>
      <w:bookmarkEnd w:id="943"/>
      <w:bookmarkEnd w:id="944"/>
      <w:bookmarkEnd w:id="945"/>
      <w:bookmarkEnd w:id="946"/>
      <w:bookmarkEnd w:id="947"/>
      <w:bookmarkEnd w:id="948"/>
      <w:bookmarkEnd w:id="949"/>
      <w:bookmarkEnd w:id="950"/>
    </w:p>
    <w:p w14:paraId="306DC8BE">
      <w:pPr>
        <w:pStyle w:val="268"/>
        <w:numPr>
          <w:ilvl w:val="3"/>
          <w:numId w:val="35"/>
        </w:numPr>
        <w:spacing w:before="0" w:beforeLines="0" w:after="0" w:afterLines="0" w:line="240" w:lineRule="auto"/>
        <w:jc w:val="both"/>
        <w:outlineLvl w:val="2"/>
        <w:rPr>
          <w:rFonts w:hint="eastAsia" w:ascii="宋体" w:hAnsi="宋体" w:eastAsia="宋体" w:cs="宋体"/>
          <w:color w:val="000000"/>
        </w:rPr>
      </w:pPr>
      <w:bookmarkStart w:id="951" w:name="_Toc196300402"/>
      <w:bookmarkStart w:id="952" w:name="_Toc208854278"/>
      <w:bookmarkStart w:id="953" w:name="_Toc196412021"/>
      <w:r>
        <w:rPr>
          <w:rFonts w:hint="eastAsia" w:ascii="宋体" w:hAnsi="宋体" w:eastAsia="宋体" w:cs="宋体"/>
          <w:color w:val="000000"/>
        </w:rPr>
        <w:t>成套设备应储存在通风、清洁、阴凉、干燥的场所，远离热源和污染源，严禁与有害物品（易燃、易爆、腐蚀性等）混放。</w:t>
      </w:r>
      <w:bookmarkEnd w:id="951"/>
      <w:bookmarkEnd w:id="952"/>
      <w:bookmarkEnd w:id="953"/>
    </w:p>
    <w:p w14:paraId="7EBAEA26">
      <w:pPr>
        <w:pStyle w:val="268"/>
        <w:numPr>
          <w:ilvl w:val="3"/>
          <w:numId w:val="35"/>
        </w:numPr>
        <w:spacing w:before="0" w:beforeLines="0" w:after="0" w:afterLines="0" w:line="240" w:lineRule="auto"/>
        <w:jc w:val="both"/>
        <w:outlineLvl w:val="2"/>
        <w:rPr>
          <w:rFonts w:hint="eastAsia" w:ascii="宋体" w:hAnsi="宋体" w:eastAsia="宋体" w:cs="宋体"/>
        </w:rPr>
      </w:pPr>
      <w:bookmarkStart w:id="954" w:name="_Toc196412022"/>
      <w:bookmarkStart w:id="955" w:name="_Toc208854279"/>
      <w:r>
        <w:rPr>
          <w:rFonts w:hint="eastAsia" w:ascii="宋体" w:hAnsi="宋体" w:eastAsia="宋体" w:cs="宋体"/>
          <w:color w:val="000000"/>
        </w:rPr>
        <w:t>正常储运条件下，成套设备自出厂之日起12个月内，不应因包装储存不当引起锈蚀、霉损等。</w:t>
      </w:r>
      <w:bookmarkEnd w:id="954"/>
      <w:bookmarkEnd w:id="955"/>
    </w:p>
    <w:p w14:paraId="63B5BECB">
      <w:pPr>
        <w:adjustRightInd/>
        <w:spacing w:line="360" w:lineRule="exact"/>
        <w:outlineLvl w:val="3"/>
        <w:rPr>
          <w:rFonts w:ascii="Times New Roman" w:hAnsi="Times New Roman"/>
        </w:rPr>
      </w:pPr>
    </w:p>
    <w:bookmarkEnd w:id="32"/>
    <w:p w14:paraId="4E656FDA">
      <w:pPr>
        <w:pStyle w:val="257"/>
        <w:numPr>
          <w:ilvl w:val="0"/>
          <w:numId w:val="0"/>
        </w:numPr>
        <w:jc w:val="center"/>
      </w:pPr>
      <w:bookmarkStart w:id="956" w:name="BookMark8"/>
      <w:r>
        <w:drawing>
          <wp:inline distT="0" distB="0" distL="0" distR="0">
            <wp:extent cx="1383665" cy="41275"/>
            <wp:effectExtent l="0" t="0" r="6985" b="0"/>
            <wp:docPr id="18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图片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383665" cy="41275"/>
                    </a:xfrm>
                    <a:prstGeom prst="rect">
                      <a:avLst/>
                    </a:prstGeom>
                    <a:noFill/>
                    <a:ln>
                      <a:noFill/>
                    </a:ln>
                  </pic:spPr>
                </pic:pic>
              </a:graphicData>
            </a:graphic>
          </wp:inline>
        </w:drawing>
      </w:r>
      <w:bookmarkEnd w:id="956"/>
    </w:p>
    <w:sectPr>
      <w:pgSz w:w="11906" w:h="16838"/>
      <w:pgMar w:top="1418" w:right="1134" w:bottom="1134" w:left="1418" w:header="1418" w:footer="1134" w:gutter="284"/>
      <w:pgNumType w:start="1"/>
      <w:cols w:space="425" w:num="1"/>
      <w:formProt w:val="0"/>
      <w:docGrid w:linePitch="312" w:charSpace="0"/>
    </w:sectPr>
  </w:body>
</w:document>
</file>

<file path=word/customizations.xml><?xml version="1.0" encoding="utf-8"?>
<wne:tcg xmlns:r="http://schemas.openxmlformats.org/officeDocument/2006/relationships" xmlns:wne="http://schemas.microsoft.com/office/word/2006/wordml">
  <wne:keymaps>
    <wne:keymap wne:kcmPrimary="034D">
      <wne:macro wne:macroName="MATHTYPECOMMANDS.UILIB.MTCOMMAND_MATHINPUTCONTROL"/>
    </wne:keymap>
    <wne:keymap wne:kcmPrimary="0445">
      <wne:macro wne:macroName="MATHTYPECOMMANDS.UILIB.MTCOMMAND_EDITEQUATIONINPLACE"/>
    </wne:keymap>
    <wne:keymap wne:kcmPrimary="044F">
      <wne:macro wne:macroName="MATHTYPECOMMANDS.UILIB.MTCOMMAND_EDITEQUATIONOPEN"/>
    </wne:keymap>
    <wne:keymap wne:kcmPrimary="0451">
      <wne:macro wne:macroName="MATHTYPECOMMANDS.UILIB.MTCOMMAND_INSERTDISPEQN"/>
    </wne:keymap>
    <wne:keymap wne:kcmPrimary="04DC">
      <wne:macro wne:macroName="MATHTYPECOMMANDS.UILIB.MTCOMMAND_TEXTOGGLE"/>
    </wne:keymap>
    <wne:keymap wne:kcmPrimary="0551">
      <wne:macro wne:macroName="MATHTYPECOMMANDS.UILIB.MTCOMMAND_INSERTRIGHTNUMBEREDDISPEQN"/>
    </wne:keymap>
    <wne:keymap wne:kcmPrimary="0651">
      <wne:macro wne:macroName="MATHTYPECOMMANDS.UILIB.MTCOMMAND_INSERTINLINEEQN"/>
    </wne:keymap>
    <wne:keymap wne:kcmPrimary="0751">
      <wne:macro wne:macroName="MATHTYPECOMMANDS.UILIB.MTCOMMAND_INSERTLEFTNUMBEREDDISPEQN"/>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D9A9B">
    <w:pPr>
      <w:pStyle w:val="22"/>
      <w:jc w:val="left"/>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II</w:t>
    </w:r>
    <w:r>
      <w:rP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6AC69">
    <w:pPr>
      <w:pStyle w:val="22"/>
      <w:ind w:right="720" w:firstLine="4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5151A">
    <w:pPr>
      <w:pStyle w:val="61"/>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11</w:t>
    </w:r>
    <w:r>
      <w:rPr>
        <w:rFonts w:ascii="Times New Roma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4E39B">
    <w:pPr>
      <w:pStyle w:val="22"/>
      <w:jc w:val="left"/>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12</w:t>
    </w:r>
    <w:r>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95D92">
    <w:pPr>
      <w:pStyle w:val="23"/>
      <w:wordWrap w:val="0"/>
      <w:ind w:firstLine="360"/>
      <w:jc w:val="right"/>
      <w:rPr>
        <w:rFonts w:hint="eastAsia" w:ascii="黑体" w:hAnsi="黑体" w:eastAsia="黑体"/>
      </w:rPr>
    </w:pPr>
    <w:r>
      <w:rPr>
        <w:rFonts w:hint="eastAsia" w:ascii="黑体" w:hAnsi="黑体" w:eastAsia="黑体"/>
      </w:rPr>
      <w:t>JB</w:t>
    </w:r>
    <w:r>
      <w:rPr>
        <w:rFonts w:ascii="黑体" w:hAnsi="黑体" w:eastAsia="黑体"/>
      </w:rPr>
      <w:t>/</w:t>
    </w:r>
    <w:r>
      <w:rPr>
        <w:rFonts w:hint="eastAsia" w:ascii="黑体" w:hAnsi="黑体" w:eastAsia="黑体"/>
      </w:rPr>
      <w:t xml:space="preserve">T </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89BC1">
    <w:pPr>
      <w:pStyle w:val="23"/>
      <w:ind w:firstLine="40"/>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27678">
    <w:pPr>
      <w:pStyle w:val="70"/>
      <w:jc w:val="left"/>
      <w:rPr>
        <w:rFonts w:hint="eastAsia"/>
      </w:rPr>
    </w:pPr>
    <w:r>
      <w:fldChar w:fldCharType="begin"/>
    </w:r>
    <w:r>
      <w:instrText xml:space="preserve"> STYLEREF  标准文件_文件编号  \* MERGEFORMAT </w:instrText>
    </w:r>
    <w:r>
      <w:fldChar w:fldCharType="separate"/>
    </w:r>
    <w:r>
      <w:t>JB/T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73"/>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8"/>
      <w:suff w:val="nothing"/>
      <w:lvlText w:val="%1%2.%3　"/>
      <w:lvlJc w:val="left"/>
      <w:pPr>
        <w:ind w:left="0" w:firstLine="0"/>
      </w:pPr>
    </w:lvl>
    <w:lvl w:ilvl="3" w:tentative="0">
      <w:start w:val="1"/>
      <w:numFmt w:val="decimal"/>
      <w:pStyle w:val="127"/>
      <w:suff w:val="nothing"/>
      <w:lvlText w:val="%1%2.%3.%4　"/>
      <w:lvlJc w:val="left"/>
      <w:pPr>
        <w:ind w:left="0" w:firstLine="0"/>
      </w:pPr>
    </w:lvl>
    <w:lvl w:ilvl="4" w:tentative="0">
      <w:start w:val="1"/>
      <w:numFmt w:val="decimal"/>
      <w:pStyle w:val="162"/>
      <w:suff w:val="nothing"/>
      <w:lvlText w:val="%1%2.%3.%4.%5　"/>
      <w:lvlJc w:val="left"/>
      <w:pPr>
        <w:ind w:left="0" w:firstLine="0"/>
      </w:pPr>
    </w:lvl>
    <w:lvl w:ilvl="5" w:tentative="0">
      <w:start w:val="1"/>
      <w:numFmt w:val="decimal"/>
      <w:pStyle w:val="164"/>
      <w:suff w:val="nothing"/>
      <w:lvlText w:val="%1%2.%3.%4.%5.%6　"/>
      <w:lvlJc w:val="left"/>
      <w:pPr>
        <w:ind w:left="0" w:firstLine="0"/>
      </w:pPr>
    </w:lvl>
    <w:lvl w:ilvl="6" w:tentative="0">
      <w:start w:val="1"/>
      <w:numFmt w:val="decimal"/>
      <w:pStyle w:val="167"/>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9"/>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8"/>
      <w:lvlText w:val="%1"/>
      <w:lvlJc w:val="left"/>
      <w:pPr>
        <w:ind w:left="425" w:hanging="425"/>
      </w:pPr>
      <w:rPr>
        <w:rFonts w:hint="eastAsia"/>
      </w:rPr>
    </w:lvl>
    <w:lvl w:ilvl="1" w:tentative="0">
      <w:start w:val="1"/>
      <w:numFmt w:val="decimal"/>
      <w:pStyle w:val="209"/>
      <w:suff w:val="nothing"/>
      <w:lvlText w:val="%10.%2 "/>
      <w:lvlJc w:val="left"/>
      <w:pPr>
        <w:ind w:left="0" w:firstLine="0"/>
      </w:pPr>
      <w:rPr>
        <w:rFonts w:hint="eastAsia" w:ascii="黑体" w:hAnsi="等线" w:eastAsia="黑体"/>
        <w:b w:val="0"/>
        <w:i w:val="0"/>
        <w:sz w:val="21"/>
      </w:rPr>
    </w:lvl>
    <w:lvl w:ilvl="2" w:tentative="0">
      <w:start w:val="1"/>
      <w:numFmt w:val="decimal"/>
      <w:pStyle w:val="210"/>
      <w:suff w:val="nothing"/>
      <w:lvlText w:val="%10.%2.%3 "/>
      <w:lvlJc w:val="left"/>
      <w:pPr>
        <w:ind w:left="0" w:firstLine="0"/>
      </w:pPr>
      <w:rPr>
        <w:rFonts w:hint="eastAsia" w:ascii="黑体" w:hAnsi="等线" w:eastAsia="黑体"/>
        <w:b w:val="0"/>
        <w:i w:val="0"/>
        <w:sz w:val="21"/>
      </w:rPr>
    </w:lvl>
    <w:lvl w:ilvl="3" w:tentative="0">
      <w:start w:val="1"/>
      <w:numFmt w:val="decimal"/>
      <w:pStyle w:val="211"/>
      <w:suff w:val="nothing"/>
      <w:lvlText w:val="%10.%2.%3.%4 "/>
      <w:lvlJc w:val="left"/>
      <w:pPr>
        <w:ind w:left="0" w:firstLine="0"/>
      </w:pPr>
      <w:rPr>
        <w:rFonts w:hint="eastAsia" w:ascii="黑体" w:hAnsi="等线" w:eastAsia="黑体"/>
        <w:b w:val="0"/>
        <w:i w:val="0"/>
        <w:sz w:val="21"/>
      </w:rPr>
    </w:lvl>
    <w:lvl w:ilvl="4" w:tentative="0">
      <w:start w:val="1"/>
      <w:numFmt w:val="decimal"/>
      <w:pStyle w:val="212"/>
      <w:suff w:val="nothing"/>
      <w:lvlText w:val="%10.%2.%3.%4.%5 "/>
      <w:lvlJc w:val="left"/>
      <w:pPr>
        <w:ind w:left="0" w:firstLine="0"/>
      </w:pPr>
      <w:rPr>
        <w:rFonts w:hint="eastAsia" w:ascii="黑体" w:hAnsi="等线" w:eastAsia="黑体"/>
        <w:b w:val="0"/>
        <w:i w:val="0"/>
        <w:sz w:val="21"/>
      </w:rPr>
    </w:lvl>
    <w:lvl w:ilvl="5" w:tentative="0">
      <w:start w:val="1"/>
      <w:numFmt w:val="decimal"/>
      <w:pStyle w:val="213"/>
      <w:suff w:val="nothing"/>
      <w:lvlText w:val="%10.%2.%3.%4.%5.%6 "/>
      <w:lvlJc w:val="left"/>
      <w:pPr>
        <w:ind w:left="0" w:firstLine="0"/>
      </w:pPr>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90"/>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6"/>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9"/>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94"/>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3C2409"/>
    <w:multiLevelType w:val="multilevel"/>
    <w:tmpl w:val="1E3C2409"/>
    <w:lvl w:ilvl="0" w:tentative="0">
      <w:start w:val="1"/>
      <w:numFmt w:val="lowerLetter"/>
      <w:pStyle w:val="267"/>
      <w:lvlText w:val="%1)"/>
      <w:lvlJc w:val="left"/>
      <w:pPr>
        <w:ind w:left="927" w:hanging="360"/>
      </w:pPr>
      <w:rPr>
        <w:rFonts w:hint="default" w:cs="宋体"/>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0">
    <w:nsid w:val="1EAA1992"/>
    <w:multiLevelType w:val="multilevel"/>
    <w:tmpl w:val="1EAA1992"/>
    <w:lvl w:ilvl="0" w:tentative="0">
      <w:start w:val="1"/>
      <w:numFmt w:val="none"/>
      <w:pStyle w:val="101"/>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55"/>
      <w:suff w:val="nothing"/>
      <w:lvlText w:val="%1.%2　"/>
      <w:lvlJc w:val="left"/>
      <w:pPr>
        <w:ind w:left="0" w:firstLine="0"/>
      </w:pPr>
      <w:rPr>
        <w:rFonts w:hint="eastAsia" w:ascii="黑体" w:hAnsi="Times New Roman" w:eastAsia="黑体" w:cs="Times New Roman"/>
        <w:b w:val="0"/>
        <w:bCs w:val="0"/>
        <w:i w:val="0"/>
        <w:iCs w:val="0"/>
        <w:caps w:val="0"/>
        <w:strike w:val="0"/>
        <w:dstrike w:val="0"/>
        <w:spacing w:val="0"/>
        <w:kern w:val="0"/>
        <w:position w:val="0"/>
        <w:sz w:val="21"/>
        <w:szCs w:val="21"/>
        <w:u w:val="none"/>
        <w:vertAlign w:val="baseline"/>
      </w:rPr>
    </w:lvl>
    <w:lvl w:ilvl="2" w:tentative="0">
      <w:start w:val="1"/>
      <w:numFmt w:val="decimal"/>
      <w:pStyle w:val="256"/>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2BD53A32"/>
    <w:multiLevelType w:val="multilevel"/>
    <w:tmpl w:val="2BD53A32"/>
    <w:lvl w:ilvl="0" w:tentative="0">
      <w:start w:val="1"/>
      <w:numFmt w:val="none"/>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default" w:ascii="Times New Roman" w:hAnsi="Times New Roman" w:cs="Times New Roman"/>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ind w:left="803" w:hanging="440"/>
      </w:pPr>
      <w:rPr>
        <w:rFonts w:ascii="宋体" w:hAnsi="宋体" w:eastAsia="宋体"/>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3">
    <w:nsid w:val="2C5917C3"/>
    <w:multiLevelType w:val="multilevel"/>
    <w:tmpl w:val="2C5917C3"/>
    <w:lvl w:ilvl="0" w:tentative="0">
      <w:start w:val="1"/>
      <w:numFmt w:val="none"/>
      <w:pStyle w:val="141"/>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6"/>
      <w:lvlText w:val=""/>
      <w:lvlJc w:val="left"/>
      <w:pPr>
        <w:ind w:left="851" w:hanging="431"/>
      </w:pPr>
      <w:rPr>
        <w:rFonts w:hint="default" w:ascii="Symbol" w:hAnsi="Symbol"/>
        <w:sz w:val="21"/>
      </w:rPr>
    </w:lvl>
    <w:lvl w:ilvl="2" w:tentative="0">
      <w:start w:val="1"/>
      <w:numFmt w:val="bullet"/>
      <w:pStyle w:val="181"/>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2D5D7B0C"/>
    <w:multiLevelType w:val="multilevel"/>
    <w:tmpl w:val="2D5D7B0C"/>
    <w:lvl w:ilvl="0" w:tentative="0">
      <w:start w:val="3"/>
      <w:numFmt w:val="none"/>
      <w:suff w:val="nothing"/>
      <w:lvlText w:val="%1"/>
      <w:lvlJc w:val="left"/>
      <w:pPr>
        <w:ind w:left="0" w:firstLine="0"/>
      </w:pPr>
      <w:rPr>
        <w:rFonts w:hint="eastAsia"/>
      </w:rPr>
    </w:lvl>
    <w:lvl w:ilvl="1" w:tentative="0">
      <w:start w:val="6"/>
      <w:numFmt w:val="decimal"/>
      <w:suff w:val="nothing"/>
      <w:lvlText w:val="%1%2　"/>
      <w:lvlJc w:val="left"/>
      <w:pPr>
        <w:ind w:left="0" w:firstLine="0"/>
      </w:pPr>
      <w:rPr>
        <w:rFonts w:hint="default" w:ascii="黑体" w:hAnsi="黑体" w:eastAsia="黑体" w:cs="Times New Roman"/>
        <w:b w:val="0"/>
        <w:i w:val="0"/>
        <w:sz w:val="21"/>
      </w:rPr>
    </w:lvl>
    <w:lvl w:ilvl="2" w:tentative="0">
      <w:start w:val="1"/>
      <w:numFmt w:val="decimal"/>
      <w:suff w:val="nothing"/>
      <w:lvlText w:val="%1%2.%3　"/>
      <w:lvlJc w:val="left"/>
      <w:pPr>
        <w:ind w:left="0" w:firstLine="0"/>
      </w:pPr>
      <w:rPr>
        <w:rFonts w:hint="default" w:ascii="黑体" w:hAnsi="黑体"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suff w:val="nothing"/>
      <w:lvlText w:val="%1%2.%3.%4　"/>
      <w:lvlJc w:val="left"/>
      <w:pPr>
        <w:ind w:left="0" w:firstLine="0"/>
      </w:pPr>
      <w:rPr>
        <w:rFonts w:hint="default" w:ascii="黑体" w:hAnsi="黑体" w:eastAsia="黑体" w:cs="Times New Roman"/>
        <w:b w:val="0"/>
        <w:i w:val="0"/>
        <w:color w:val="auto"/>
        <w:sz w:val="21"/>
      </w:rPr>
    </w:lvl>
    <w:lvl w:ilvl="4" w:tentative="0">
      <w:start w:val="1"/>
      <w:numFmt w:val="decimal"/>
      <w:suff w:val="nothing"/>
      <w:lvlText w:val="%1%2.%3.%4.%5　"/>
      <w:lvlJc w:val="left"/>
      <w:pPr>
        <w:ind w:left="63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2E32610F"/>
    <w:multiLevelType w:val="multilevel"/>
    <w:tmpl w:val="2E32610F"/>
    <w:lvl w:ilvl="0" w:tentative="0">
      <w:start w:val="1"/>
      <w:numFmt w:val="decimal"/>
      <w:pStyle w:val="263"/>
      <w:lvlText w:val="图%1 "/>
      <w:lvlJc w:val="left"/>
      <w:pPr>
        <w:ind w:left="220" w:hanging="420"/>
      </w:pPr>
      <w:rPr>
        <w:rFonts w:hint="default" w:ascii="Times New Roman" w:hAnsi="Times New Roman" w:eastAsia="黑体"/>
        <w:sz w:val="21"/>
      </w:rPr>
    </w:lvl>
    <w:lvl w:ilvl="1" w:tentative="0">
      <w:start w:val="1"/>
      <w:numFmt w:val="lowerLetter"/>
      <w:lvlText w:val="%2)"/>
      <w:lvlJc w:val="left"/>
      <w:pPr>
        <w:ind w:left="640" w:hanging="420"/>
      </w:pPr>
    </w:lvl>
    <w:lvl w:ilvl="2" w:tentative="0">
      <w:start w:val="1"/>
      <w:numFmt w:val="lowerRoman"/>
      <w:lvlText w:val="%3."/>
      <w:lvlJc w:val="right"/>
      <w:pPr>
        <w:ind w:left="1060" w:hanging="420"/>
      </w:pPr>
    </w:lvl>
    <w:lvl w:ilvl="3" w:tentative="0">
      <w:start w:val="1"/>
      <w:numFmt w:val="decimal"/>
      <w:lvlText w:val="%4."/>
      <w:lvlJc w:val="left"/>
      <w:pPr>
        <w:ind w:left="1480" w:hanging="420"/>
      </w:pPr>
    </w:lvl>
    <w:lvl w:ilvl="4" w:tentative="0">
      <w:start w:val="1"/>
      <w:numFmt w:val="lowerLetter"/>
      <w:lvlText w:val="%5)"/>
      <w:lvlJc w:val="left"/>
      <w:pPr>
        <w:ind w:left="1900" w:hanging="420"/>
      </w:pPr>
    </w:lvl>
    <w:lvl w:ilvl="5" w:tentative="0">
      <w:start w:val="1"/>
      <w:numFmt w:val="lowerRoman"/>
      <w:lvlText w:val="%6."/>
      <w:lvlJc w:val="right"/>
      <w:pPr>
        <w:ind w:left="2320" w:hanging="420"/>
      </w:pPr>
    </w:lvl>
    <w:lvl w:ilvl="6" w:tentative="0">
      <w:start w:val="1"/>
      <w:numFmt w:val="decimal"/>
      <w:lvlText w:val="%7."/>
      <w:lvlJc w:val="left"/>
      <w:pPr>
        <w:ind w:left="2740" w:hanging="420"/>
      </w:pPr>
    </w:lvl>
    <w:lvl w:ilvl="7" w:tentative="0">
      <w:start w:val="1"/>
      <w:numFmt w:val="lowerLetter"/>
      <w:lvlText w:val="%8)"/>
      <w:lvlJc w:val="left"/>
      <w:pPr>
        <w:ind w:left="3160" w:hanging="420"/>
      </w:pPr>
    </w:lvl>
    <w:lvl w:ilvl="8" w:tentative="0">
      <w:start w:val="1"/>
      <w:numFmt w:val="lowerRoman"/>
      <w:lvlText w:val="%9."/>
      <w:lvlJc w:val="right"/>
      <w:pPr>
        <w:ind w:left="3580" w:hanging="420"/>
      </w:pPr>
    </w:lvl>
  </w:abstractNum>
  <w:abstractNum w:abstractNumId="16">
    <w:nsid w:val="32F04FB2"/>
    <w:multiLevelType w:val="multilevel"/>
    <w:tmpl w:val="32F04FB2"/>
    <w:lvl w:ilvl="0" w:tentative="0">
      <w:start w:val="1"/>
      <w:numFmt w:val="lowerLetter"/>
      <w:pStyle w:val="110"/>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7">
    <w:nsid w:val="3D1C17D8"/>
    <w:multiLevelType w:val="multilevel"/>
    <w:tmpl w:val="3D1C17D8"/>
    <w:lvl w:ilvl="0" w:tentative="0">
      <w:start w:val="1"/>
      <w:numFmt w:val="decimal"/>
      <w:pStyle w:val="249"/>
      <w:lvlText w:val="表%1 "/>
      <w:lvlJc w:val="left"/>
      <w:pPr>
        <w:ind w:left="420" w:hanging="420"/>
      </w:pPr>
      <w:rPr>
        <w:rFonts w:hint="default" w:ascii="Times New Roman" w:hAnsi="Times New Roman" w:eastAsia="黑体"/>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4C50F90"/>
    <w:multiLevelType w:val="multilevel"/>
    <w:tmpl w:val="44C50F90"/>
    <w:lvl w:ilvl="0" w:tentative="0">
      <w:start w:val="1"/>
      <w:numFmt w:val="lowerLetter"/>
      <w:pStyle w:val="183"/>
      <w:lvlText w:val="%1)"/>
      <w:lvlJc w:val="left"/>
      <w:pPr>
        <w:tabs>
          <w:tab w:val="left" w:pos="851"/>
        </w:tabs>
        <w:ind w:left="851" w:hanging="426"/>
      </w:pPr>
      <w:rPr>
        <w:rFonts w:hint="eastAsia" w:ascii="宋体" w:hAnsi="Times New Roman" w:eastAsia="宋体"/>
        <w:sz w:val="21"/>
      </w:rPr>
    </w:lvl>
    <w:lvl w:ilvl="1" w:tentative="0">
      <w:start w:val="1"/>
      <w:numFmt w:val="decimal"/>
      <w:pStyle w:val="118"/>
      <w:lvlText w:val="%2)"/>
      <w:lvlJc w:val="left"/>
      <w:pPr>
        <w:tabs>
          <w:tab w:val="left" w:pos="1276"/>
        </w:tabs>
        <w:ind w:left="1276" w:hanging="425"/>
      </w:pPr>
      <w:rPr>
        <w:rFonts w:hint="eastAsia" w:ascii="宋体" w:hAnsi="Times New Roman" w:eastAsia="宋体"/>
        <w:sz w:val="21"/>
      </w:rPr>
    </w:lvl>
    <w:lvl w:ilvl="2" w:tentative="0">
      <w:start w:val="1"/>
      <w:numFmt w:val="decimal"/>
      <w:pStyle w:val="126"/>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9">
    <w:nsid w:val="48802D1C"/>
    <w:multiLevelType w:val="multilevel"/>
    <w:tmpl w:val="48802D1C"/>
    <w:lvl w:ilvl="0" w:tentative="0">
      <w:start w:val="1"/>
      <w:numFmt w:val="upperLetter"/>
      <w:pStyle w:val="207"/>
      <w:lvlText w:val="%1"/>
      <w:lvlJc w:val="left"/>
      <w:pPr>
        <w:ind w:left="420" w:hanging="420"/>
      </w:pPr>
      <w:rPr>
        <w:rFonts w:hint="eastAsia"/>
      </w:rPr>
    </w:lvl>
    <w:lvl w:ilvl="1" w:tentative="0">
      <w:start w:val="1"/>
      <w:numFmt w:val="decimal"/>
      <w:pStyle w:val="92"/>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0">
    <w:nsid w:val="4B733A5F"/>
    <w:multiLevelType w:val="multilevel"/>
    <w:tmpl w:val="4B733A5F"/>
    <w:lvl w:ilvl="0" w:tentative="0">
      <w:start w:val="1"/>
      <w:numFmt w:val="decimal"/>
      <w:pStyle w:val="192"/>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1">
    <w:nsid w:val="4E5D0534"/>
    <w:multiLevelType w:val="multilevel"/>
    <w:tmpl w:val="4E5D0534"/>
    <w:lvl w:ilvl="0" w:tentative="0">
      <w:start w:val="1"/>
      <w:numFmt w:val="decimal"/>
      <w:pStyle w:val="125"/>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2">
    <w:nsid w:val="54632751"/>
    <w:multiLevelType w:val="multilevel"/>
    <w:tmpl w:val="54632751"/>
    <w:lvl w:ilvl="0" w:tentative="0">
      <w:start w:val="1"/>
      <w:numFmt w:val="none"/>
      <w:pStyle w:val="102"/>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3">
    <w:nsid w:val="557C2AF5"/>
    <w:multiLevelType w:val="multilevel"/>
    <w:tmpl w:val="557C2AF5"/>
    <w:lvl w:ilvl="0" w:tentative="0">
      <w:start w:val="1"/>
      <w:numFmt w:val="decimal"/>
      <w:pStyle w:val="123"/>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4">
    <w:nsid w:val="5603797C"/>
    <w:multiLevelType w:val="multilevel"/>
    <w:tmpl w:val="5603797C"/>
    <w:lvl w:ilvl="0" w:tentative="0">
      <w:start w:val="1"/>
      <w:numFmt w:val="upperLetter"/>
      <w:pStyle w:val="208"/>
      <w:suff w:val="space"/>
      <w:lvlText w:val="%1"/>
      <w:lvlJc w:val="left"/>
      <w:pPr>
        <w:ind w:left="425" w:hanging="425"/>
      </w:pPr>
      <w:rPr>
        <w:rFonts w:hint="eastAsia"/>
      </w:rPr>
    </w:lvl>
    <w:lvl w:ilvl="1" w:tentative="0">
      <w:start w:val="1"/>
      <w:numFmt w:val="decimal"/>
      <w:pStyle w:val="86"/>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5">
    <w:nsid w:val="564D2089"/>
    <w:multiLevelType w:val="multilevel"/>
    <w:tmpl w:val="564D2089"/>
    <w:lvl w:ilvl="0" w:tentative="0">
      <w:start w:val="1"/>
      <w:numFmt w:val="none"/>
      <w:pStyle w:val="120"/>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44622F9"/>
    <w:multiLevelType w:val="multilevel"/>
    <w:tmpl w:val="644622F9"/>
    <w:lvl w:ilvl="0" w:tentative="0">
      <w:start w:val="1"/>
      <w:numFmt w:val="upperRoman"/>
      <w:pStyle w:val="177"/>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7">
    <w:nsid w:val="646260FA"/>
    <w:multiLevelType w:val="multilevel"/>
    <w:tmpl w:val="646260FA"/>
    <w:lvl w:ilvl="0" w:tentative="0">
      <w:start w:val="1"/>
      <w:numFmt w:val="decimal"/>
      <w:pStyle w:val="121"/>
      <w:suff w:val="nothing"/>
      <w:lvlText w:val="表%1　"/>
      <w:lvlJc w:val="left"/>
      <w:pPr>
        <w:ind w:left="4253"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8">
    <w:nsid w:val="654A26C9"/>
    <w:multiLevelType w:val="multilevel"/>
    <w:tmpl w:val="654A26C9"/>
    <w:lvl w:ilvl="0" w:tentative="0">
      <w:start w:val="1"/>
      <w:numFmt w:val="none"/>
      <w:pStyle w:val="198"/>
      <w:lvlText w:val="──"/>
      <w:lvlJc w:val="left"/>
      <w:pPr>
        <w:ind w:left="851" w:firstLine="0"/>
      </w:pPr>
      <w:rPr>
        <w:rFonts w:hint="eastAsia" w:ascii="宋体" w:hAnsi="等线 Light" w:eastAsia="宋体"/>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9">
    <w:nsid w:val="65693E0A"/>
    <w:multiLevelType w:val="multilevel"/>
    <w:tmpl w:val="65693E0A"/>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0">
    <w:nsid w:val="657D3FBC"/>
    <w:multiLevelType w:val="multilevel"/>
    <w:tmpl w:val="657D3FBC"/>
    <w:lvl w:ilvl="0" w:tentative="0">
      <w:start w:val="1"/>
      <w:numFmt w:val="upperLetter"/>
      <w:pStyle w:val="85"/>
      <w:suff w:val="nothing"/>
      <w:lvlText w:val="附录%1"/>
      <w:lvlJc w:val="left"/>
      <w:pPr>
        <w:ind w:left="0" w:firstLine="0"/>
      </w:pPr>
      <w:rPr>
        <w:rFonts w:hint="eastAsia"/>
        <w:spacing w:val="100"/>
      </w:rPr>
    </w:lvl>
    <w:lvl w:ilvl="1" w:tentative="0">
      <w:start w:val="1"/>
      <w:numFmt w:val="decimal"/>
      <w:pStyle w:val="87"/>
      <w:suff w:val="nothing"/>
      <w:lvlText w:val="%1.%2　"/>
      <w:lvlJc w:val="left"/>
      <w:pPr>
        <w:ind w:left="0" w:firstLine="0"/>
      </w:pPr>
      <w:rPr>
        <w:rFonts w:hint="eastAsia" w:ascii="黑体" w:eastAsia="黑体"/>
        <w:b w:val="0"/>
        <w:i w:val="0"/>
        <w:sz w:val="21"/>
      </w:rPr>
    </w:lvl>
    <w:lvl w:ilvl="2" w:tentative="0">
      <w:start w:val="1"/>
      <w:numFmt w:val="decimal"/>
      <w:pStyle w:val="88"/>
      <w:suff w:val="nothing"/>
      <w:lvlText w:val="%1.%2.%3　"/>
      <w:lvlJc w:val="left"/>
      <w:pPr>
        <w:ind w:left="0" w:firstLine="0"/>
      </w:pPr>
      <w:rPr>
        <w:rFonts w:hint="eastAsia" w:ascii="黑体" w:eastAsia="黑体"/>
        <w:b w:val="0"/>
        <w:i w:val="0"/>
        <w:sz w:val="21"/>
      </w:rPr>
    </w:lvl>
    <w:lvl w:ilvl="3" w:tentative="0">
      <w:start w:val="1"/>
      <w:numFmt w:val="decimal"/>
      <w:pStyle w:val="90"/>
      <w:suff w:val="nothing"/>
      <w:lvlText w:val="%1.%2.%3.%4　"/>
      <w:lvlJc w:val="left"/>
      <w:pPr>
        <w:ind w:left="0" w:firstLine="0"/>
      </w:pPr>
      <w:rPr>
        <w:rFonts w:hint="eastAsia" w:ascii="黑体" w:eastAsia="黑体"/>
        <w:b w:val="0"/>
        <w:i w:val="0"/>
        <w:sz w:val="21"/>
      </w:rPr>
    </w:lvl>
    <w:lvl w:ilvl="4" w:tentative="0">
      <w:start w:val="1"/>
      <w:numFmt w:val="decimal"/>
      <w:pStyle w:val="91"/>
      <w:suff w:val="nothing"/>
      <w:lvlText w:val="%1.%2.%3.%4.%5　"/>
      <w:lvlJc w:val="left"/>
      <w:pPr>
        <w:ind w:left="0" w:firstLine="0"/>
      </w:pPr>
      <w:rPr>
        <w:rFonts w:hint="eastAsia" w:ascii="黑体" w:eastAsia="黑体"/>
        <w:b w:val="0"/>
        <w:i w:val="0"/>
        <w:sz w:val="21"/>
      </w:rPr>
    </w:lvl>
    <w:lvl w:ilvl="5" w:tentative="0">
      <w:start w:val="1"/>
      <w:numFmt w:val="decimal"/>
      <w:pStyle w:val="93"/>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1">
    <w:nsid w:val="69506ABF"/>
    <w:multiLevelType w:val="multilevel"/>
    <w:tmpl w:val="69506ABF"/>
    <w:lvl w:ilvl="0" w:tentative="0">
      <w:start w:val="1"/>
      <w:numFmt w:val="bullet"/>
      <w:pStyle w:val="197"/>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2">
    <w:nsid w:val="6CA41985"/>
    <w:multiLevelType w:val="multilevel"/>
    <w:tmpl w:val="6CA41985"/>
    <w:lvl w:ilvl="0" w:tentative="0">
      <w:start w:val="1"/>
      <w:numFmt w:val="decimal"/>
      <w:pStyle w:val="106"/>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6CE42AC1"/>
    <w:multiLevelType w:val="multilevel"/>
    <w:tmpl w:val="6CE42AC1"/>
    <w:lvl w:ilvl="0" w:tentative="0">
      <w:start w:val="1"/>
      <w:numFmt w:val="lowerLetter"/>
      <w:pStyle w:val="18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default" w:ascii="黑体" w:hAnsi="黑体" w:eastAsia="黑体" w:cs="Times New Roman"/>
        <w:b w:val="0"/>
        <w:i w:val="0"/>
        <w:sz w:val="21"/>
      </w:rPr>
    </w:lvl>
    <w:lvl w:ilvl="2" w:tentative="0">
      <w:start w:val="1"/>
      <w:numFmt w:val="decimal"/>
      <w:suff w:val="nothing"/>
      <w:lvlText w:val="%1%2.%3　"/>
      <w:lvlJc w:val="left"/>
      <w:pPr>
        <w:ind w:left="0" w:firstLine="0"/>
      </w:pPr>
      <w:rPr>
        <w:rFonts w:hint="default" w:ascii="黑体" w:hAnsi="黑体"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suff w:val="nothing"/>
      <w:lvlText w:val="%1%2.%3.%4　"/>
      <w:lvlJc w:val="left"/>
      <w:pPr>
        <w:ind w:left="0" w:firstLine="0"/>
      </w:pPr>
      <w:rPr>
        <w:rFonts w:hint="default" w:ascii="黑体" w:hAnsi="黑体" w:eastAsia="黑体" w:cs="Times New Roman"/>
        <w:b w:val="0"/>
        <w:i w:val="0"/>
        <w:color w:val="auto"/>
        <w:sz w:val="21"/>
      </w:rPr>
    </w:lvl>
    <w:lvl w:ilvl="4" w:tentative="0">
      <w:start w:val="1"/>
      <w:numFmt w:val="decimal"/>
      <w:suff w:val="nothing"/>
      <w:lvlText w:val="%1%2.%3.%4.%5　"/>
      <w:lvlJc w:val="left"/>
      <w:pPr>
        <w:ind w:left="568" w:firstLine="0"/>
      </w:pPr>
      <w:rPr>
        <w:rFonts w:hint="eastAsia" w:ascii="黑体" w:eastAsia="黑体"/>
        <w:b w:val="0"/>
        <w:i w:val="0"/>
        <w:color w:val="auto"/>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5">
    <w:nsid w:val="6DBF04F4"/>
    <w:multiLevelType w:val="multilevel"/>
    <w:tmpl w:val="6DBF04F4"/>
    <w:lvl w:ilvl="0" w:tentative="0">
      <w:start w:val="1"/>
      <w:numFmt w:val="none"/>
      <w:pStyle w:val="188"/>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default" w:ascii="Times New Roman" w:hAnsi="Times New Roman" w:cs="Times New Roman"/>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ind w:left="803" w:hanging="440"/>
      </w:p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6">
    <w:nsid w:val="6DF35F19"/>
    <w:multiLevelType w:val="multilevel"/>
    <w:tmpl w:val="6DF35F19"/>
    <w:lvl w:ilvl="0" w:tentative="0">
      <w:start w:val="1"/>
      <w:numFmt w:val="decimal"/>
      <w:pStyle w:val="124"/>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7">
    <w:nsid w:val="76933334"/>
    <w:multiLevelType w:val="multilevel"/>
    <w:tmpl w:val="76933334"/>
    <w:lvl w:ilvl="0" w:tentative="0">
      <w:start w:val="1"/>
      <w:numFmt w:val="none"/>
      <w:pStyle w:val="148"/>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5"/>
  </w:num>
  <w:num w:numId="3">
    <w:abstractNumId w:val="30"/>
  </w:num>
  <w:num w:numId="4">
    <w:abstractNumId w:val="24"/>
  </w:num>
  <w:num w:numId="5">
    <w:abstractNumId w:val="19"/>
  </w:num>
  <w:num w:numId="6">
    <w:abstractNumId w:val="8"/>
  </w:num>
  <w:num w:numId="7">
    <w:abstractNumId w:val="3"/>
  </w:num>
  <w:num w:numId="8">
    <w:abstractNumId w:val="10"/>
  </w:num>
  <w:num w:numId="9">
    <w:abstractNumId w:val="22"/>
  </w:num>
  <w:num w:numId="10">
    <w:abstractNumId w:val="32"/>
  </w:num>
  <w:num w:numId="11">
    <w:abstractNumId w:val="16"/>
  </w:num>
  <w:num w:numId="12">
    <w:abstractNumId w:val="18"/>
  </w:num>
  <w:num w:numId="13">
    <w:abstractNumId w:val="7"/>
  </w:num>
  <w:num w:numId="14">
    <w:abstractNumId w:val="25"/>
  </w:num>
  <w:num w:numId="15">
    <w:abstractNumId w:val="27"/>
  </w:num>
  <w:num w:numId="16">
    <w:abstractNumId w:val="23"/>
  </w:num>
  <w:num w:numId="17">
    <w:abstractNumId w:val="36"/>
  </w:num>
  <w:num w:numId="18">
    <w:abstractNumId w:val="21"/>
  </w:num>
  <w:num w:numId="19">
    <w:abstractNumId w:val="1"/>
  </w:num>
  <w:num w:numId="20">
    <w:abstractNumId w:val="13"/>
  </w:num>
  <w:num w:numId="21">
    <w:abstractNumId w:val="37"/>
  </w:num>
  <w:num w:numId="22">
    <w:abstractNumId w:val="26"/>
  </w:num>
  <w:num w:numId="23">
    <w:abstractNumId w:val="6"/>
  </w:num>
  <w:num w:numId="24">
    <w:abstractNumId w:val="33"/>
  </w:num>
  <w:num w:numId="25">
    <w:abstractNumId w:val="35"/>
  </w:num>
  <w:num w:numId="26">
    <w:abstractNumId w:val="2"/>
  </w:num>
  <w:num w:numId="27">
    <w:abstractNumId w:val="4"/>
  </w:num>
  <w:num w:numId="28">
    <w:abstractNumId w:val="20"/>
  </w:num>
  <w:num w:numId="29">
    <w:abstractNumId w:val="31"/>
  </w:num>
  <w:num w:numId="30">
    <w:abstractNumId w:val="28"/>
  </w:num>
  <w:num w:numId="31">
    <w:abstractNumId w:val="17"/>
  </w:num>
  <w:num w:numId="32">
    <w:abstractNumId w:val="11"/>
  </w:num>
  <w:num w:numId="33">
    <w:abstractNumId w:val="15"/>
  </w:num>
  <w:num w:numId="34">
    <w:abstractNumId w:val="9"/>
  </w:num>
  <w:num w:numId="35">
    <w:abstractNumId w:val="34"/>
  </w:num>
  <w:num w:numId="36">
    <w:abstractNumId w:val="29"/>
  </w:num>
  <w:num w:numId="37">
    <w:abstractNumId w:val="12"/>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6"/>
  <w:bordersDoNotSurroundHeader w:val="1"/>
  <w:bordersDoNotSurroundFooter w:val="1"/>
  <w:attachedTemplate r:id="rId1"/>
  <w:documentProtection w:edit="forms" w:enforcement="0"/>
  <w:defaultTabStop w:val="210"/>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sLQwMzI3MDI1NDM2N7dU0lEKTi0uzszPAykwNqkFAFF/yAQtAAAA"/>
    <w:docVar w:name="commondata" w:val="eyJoZGlkIjoiM2U0ODIwY2ExZGZkNDNhN2Y4MWZhZWJlMjc3YzFjN2MifQ=="/>
  </w:docVars>
  <w:rsids>
    <w:rsidRoot w:val="0008538A"/>
    <w:rsid w:val="0000040A"/>
    <w:rsid w:val="0000090C"/>
    <w:rsid w:val="00000A94"/>
    <w:rsid w:val="00000FAF"/>
    <w:rsid w:val="00001972"/>
    <w:rsid w:val="00001D9A"/>
    <w:rsid w:val="000032AE"/>
    <w:rsid w:val="0000342F"/>
    <w:rsid w:val="0000395D"/>
    <w:rsid w:val="000042E6"/>
    <w:rsid w:val="000047BC"/>
    <w:rsid w:val="00004E0B"/>
    <w:rsid w:val="00005899"/>
    <w:rsid w:val="000058AA"/>
    <w:rsid w:val="00005D06"/>
    <w:rsid w:val="00007B3A"/>
    <w:rsid w:val="0001019A"/>
    <w:rsid w:val="000105E0"/>
    <w:rsid w:val="000106D6"/>
    <w:rsid w:val="000107E0"/>
    <w:rsid w:val="00011988"/>
    <w:rsid w:val="00011FDE"/>
    <w:rsid w:val="000122EF"/>
    <w:rsid w:val="000126D4"/>
    <w:rsid w:val="0001274A"/>
    <w:rsid w:val="00012FFD"/>
    <w:rsid w:val="00013D9F"/>
    <w:rsid w:val="00014162"/>
    <w:rsid w:val="00014340"/>
    <w:rsid w:val="00016A9C"/>
    <w:rsid w:val="00016B7F"/>
    <w:rsid w:val="000171F6"/>
    <w:rsid w:val="00017F18"/>
    <w:rsid w:val="00020073"/>
    <w:rsid w:val="00020D19"/>
    <w:rsid w:val="00021451"/>
    <w:rsid w:val="00021664"/>
    <w:rsid w:val="0002216C"/>
    <w:rsid w:val="00022184"/>
    <w:rsid w:val="00022762"/>
    <w:rsid w:val="00022F04"/>
    <w:rsid w:val="000238E0"/>
    <w:rsid w:val="00023F69"/>
    <w:rsid w:val="000249DB"/>
    <w:rsid w:val="000250FA"/>
    <w:rsid w:val="0002595E"/>
    <w:rsid w:val="000259F3"/>
    <w:rsid w:val="000261BF"/>
    <w:rsid w:val="00026238"/>
    <w:rsid w:val="00026BD0"/>
    <w:rsid w:val="00027714"/>
    <w:rsid w:val="000303C3"/>
    <w:rsid w:val="000318EB"/>
    <w:rsid w:val="000331D3"/>
    <w:rsid w:val="00033F1E"/>
    <w:rsid w:val="000346A5"/>
    <w:rsid w:val="00034C54"/>
    <w:rsid w:val="000352DE"/>
    <w:rsid w:val="000359C3"/>
    <w:rsid w:val="00035A7D"/>
    <w:rsid w:val="0003616B"/>
    <w:rsid w:val="000363BE"/>
    <w:rsid w:val="000372FE"/>
    <w:rsid w:val="00037504"/>
    <w:rsid w:val="00037803"/>
    <w:rsid w:val="00037E4A"/>
    <w:rsid w:val="000401CA"/>
    <w:rsid w:val="00040C3C"/>
    <w:rsid w:val="000410E8"/>
    <w:rsid w:val="0004122A"/>
    <w:rsid w:val="000415B9"/>
    <w:rsid w:val="0004249A"/>
    <w:rsid w:val="00043282"/>
    <w:rsid w:val="000432C9"/>
    <w:rsid w:val="000440E6"/>
    <w:rsid w:val="00044286"/>
    <w:rsid w:val="00044384"/>
    <w:rsid w:val="0004511C"/>
    <w:rsid w:val="0004541F"/>
    <w:rsid w:val="00045C28"/>
    <w:rsid w:val="00046667"/>
    <w:rsid w:val="00046B6C"/>
    <w:rsid w:val="00047F28"/>
    <w:rsid w:val="00047F8C"/>
    <w:rsid w:val="000503AA"/>
    <w:rsid w:val="000506A1"/>
    <w:rsid w:val="0005099C"/>
    <w:rsid w:val="000515DD"/>
    <w:rsid w:val="00051E9A"/>
    <w:rsid w:val="0005265A"/>
    <w:rsid w:val="0005335D"/>
    <w:rsid w:val="000539DD"/>
    <w:rsid w:val="00053BD3"/>
    <w:rsid w:val="0005418E"/>
    <w:rsid w:val="00054376"/>
    <w:rsid w:val="000556ED"/>
    <w:rsid w:val="00055972"/>
    <w:rsid w:val="00055FE2"/>
    <w:rsid w:val="0005616F"/>
    <w:rsid w:val="00056741"/>
    <w:rsid w:val="00056AD1"/>
    <w:rsid w:val="00056B33"/>
    <w:rsid w:val="0005759A"/>
    <w:rsid w:val="0006044E"/>
    <w:rsid w:val="0006076E"/>
    <w:rsid w:val="00060C2E"/>
    <w:rsid w:val="00061033"/>
    <w:rsid w:val="00061458"/>
    <w:rsid w:val="000619E9"/>
    <w:rsid w:val="00061BCD"/>
    <w:rsid w:val="0006225D"/>
    <w:rsid w:val="000622D4"/>
    <w:rsid w:val="00062B28"/>
    <w:rsid w:val="0006357D"/>
    <w:rsid w:val="000670E0"/>
    <w:rsid w:val="000677F2"/>
    <w:rsid w:val="00067A2D"/>
    <w:rsid w:val="00067F1E"/>
    <w:rsid w:val="00070857"/>
    <w:rsid w:val="00070C3C"/>
    <w:rsid w:val="00071CC0"/>
    <w:rsid w:val="00071D27"/>
    <w:rsid w:val="00072FB4"/>
    <w:rsid w:val="00072FEE"/>
    <w:rsid w:val="000731B3"/>
    <w:rsid w:val="000732B0"/>
    <w:rsid w:val="000735DC"/>
    <w:rsid w:val="00073C8C"/>
    <w:rsid w:val="0007575E"/>
    <w:rsid w:val="000773D2"/>
    <w:rsid w:val="0007753E"/>
    <w:rsid w:val="00077B64"/>
    <w:rsid w:val="000802A0"/>
    <w:rsid w:val="00080A1C"/>
    <w:rsid w:val="00082213"/>
    <w:rsid w:val="00082317"/>
    <w:rsid w:val="00083209"/>
    <w:rsid w:val="000834B4"/>
    <w:rsid w:val="00083D2C"/>
    <w:rsid w:val="00083FFD"/>
    <w:rsid w:val="00084939"/>
    <w:rsid w:val="00084B7F"/>
    <w:rsid w:val="0008538A"/>
    <w:rsid w:val="0008539C"/>
    <w:rsid w:val="000856FD"/>
    <w:rsid w:val="00085895"/>
    <w:rsid w:val="00085B16"/>
    <w:rsid w:val="00086AA1"/>
    <w:rsid w:val="000872D6"/>
    <w:rsid w:val="00087845"/>
    <w:rsid w:val="00087A77"/>
    <w:rsid w:val="00087A9F"/>
    <w:rsid w:val="000903A7"/>
    <w:rsid w:val="00090654"/>
    <w:rsid w:val="00090CA6"/>
    <w:rsid w:val="00090F2F"/>
    <w:rsid w:val="00091131"/>
    <w:rsid w:val="000928E5"/>
    <w:rsid w:val="00092B8A"/>
    <w:rsid w:val="00092F06"/>
    <w:rsid w:val="00092FB0"/>
    <w:rsid w:val="000934C5"/>
    <w:rsid w:val="00093D25"/>
    <w:rsid w:val="00093DAB"/>
    <w:rsid w:val="00094B4A"/>
    <w:rsid w:val="00094D73"/>
    <w:rsid w:val="00095290"/>
    <w:rsid w:val="000958E5"/>
    <w:rsid w:val="0009625E"/>
    <w:rsid w:val="00096D63"/>
    <w:rsid w:val="000979F8"/>
    <w:rsid w:val="000A0126"/>
    <w:rsid w:val="000A0991"/>
    <w:rsid w:val="000A0B60"/>
    <w:rsid w:val="000A0EB8"/>
    <w:rsid w:val="000A19FC"/>
    <w:rsid w:val="000A2576"/>
    <w:rsid w:val="000A296B"/>
    <w:rsid w:val="000A2A58"/>
    <w:rsid w:val="000A3353"/>
    <w:rsid w:val="000A47AA"/>
    <w:rsid w:val="000A557C"/>
    <w:rsid w:val="000A5D5D"/>
    <w:rsid w:val="000A5EBC"/>
    <w:rsid w:val="000A7204"/>
    <w:rsid w:val="000A7311"/>
    <w:rsid w:val="000A73B5"/>
    <w:rsid w:val="000A7AC1"/>
    <w:rsid w:val="000A7B89"/>
    <w:rsid w:val="000B060F"/>
    <w:rsid w:val="000B0B53"/>
    <w:rsid w:val="000B0B9B"/>
    <w:rsid w:val="000B1592"/>
    <w:rsid w:val="000B1FF2"/>
    <w:rsid w:val="000B304A"/>
    <w:rsid w:val="000B31BD"/>
    <w:rsid w:val="000B3CDA"/>
    <w:rsid w:val="000B3E54"/>
    <w:rsid w:val="000B4027"/>
    <w:rsid w:val="000B406F"/>
    <w:rsid w:val="000B41BD"/>
    <w:rsid w:val="000B519F"/>
    <w:rsid w:val="000B6245"/>
    <w:rsid w:val="000B6A0B"/>
    <w:rsid w:val="000B6D6F"/>
    <w:rsid w:val="000B70B8"/>
    <w:rsid w:val="000B7166"/>
    <w:rsid w:val="000B75EB"/>
    <w:rsid w:val="000C033A"/>
    <w:rsid w:val="000C0F6C"/>
    <w:rsid w:val="000C11DB"/>
    <w:rsid w:val="000C1492"/>
    <w:rsid w:val="000C2FBD"/>
    <w:rsid w:val="000C34B6"/>
    <w:rsid w:val="000C4875"/>
    <w:rsid w:val="000C4B41"/>
    <w:rsid w:val="000C57D6"/>
    <w:rsid w:val="000C6314"/>
    <w:rsid w:val="000C67E6"/>
    <w:rsid w:val="000C6976"/>
    <w:rsid w:val="000C71E1"/>
    <w:rsid w:val="000C74D0"/>
    <w:rsid w:val="000C7583"/>
    <w:rsid w:val="000C7666"/>
    <w:rsid w:val="000D0A9C"/>
    <w:rsid w:val="000D0B7D"/>
    <w:rsid w:val="000D1795"/>
    <w:rsid w:val="000D1B42"/>
    <w:rsid w:val="000D2018"/>
    <w:rsid w:val="000D2141"/>
    <w:rsid w:val="000D255F"/>
    <w:rsid w:val="000D2F41"/>
    <w:rsid w:val="000D2F70"/>
    <w:rsid w:val="000D2FF1"/>
    <w:rsid w:val="000D329A"/>
    <w:rsid w:val="000D3475"/>
    <w:rsid w:val="000D391E"/>
    <w:rsid w:val="000D4AF8"/>
    <w:rsid w:val="000D4B9C"/>
    <w:rsid w:val="000D4EB6"/>
    <w:rsid w:val="000D5218"/>
    <w:rsid w:val="000D5A01"/>
    <w:rsid w:val="000D6AF7"/>
    <w:rsid w:val="000D753B"/>
    <w:rsid w:val="000D79B1"/>
    <w:rsid w:val="000E002B"/>
    <w:rsid w:val="000E004F"/>
    <w:rsid w:val="000E0A6A"/>
    <w:rsid w:val="000E14EF"/>
    <w:rsid w:val="000E2B31"/>
    <w:rsid w:val="000E2BD9"/>
    <w:rsid w:val="000E35C6"/>
    <w:rsid w:val="000E3FBA"/>
    <w:rsid w:val="000E4370"/>
    <w:rsid w:val="000E4A32"/>
    <w:rsid w:val="000E4BA4"/>
    <w:rsid w:val="000E4C9E"/>
    <w:rsid w:val="000E5FBB"/>
    <w:rsid w:val="000E6FD7"/>
    <w:rsid w:val="000E756B"/>
    <w:rsid w:val="000E7CA3"/>
    <w:rsid w:val="000F0172"/>
    <w:rsid w:val="000F06E1"/>
    <w:rsid w:val="000F07ED"/>
    <w:rsid w:val="000F0A7D"/>
    <w:rsid w:val="000F0E3C"/>
    <w:rsid w:val="000F0FA8"/>
    <w:rsid w:val="000F101D"/>
    <w:rsid w:val="000F1724"/>
    <w:rsid w:val="000F19D5"/>
    <w:rsid w:val="000F3914"/>
    <w:rsid w:val="000F46BF"/>
    <w:rsid w:val="000F4AEA"/>
    <w:rsid w:val="000F556B"/>
    <w:rsid w:val="000F577C"/>
    <w:rsid w:val="000F5CF8"/>
    <w:rsid w:val="000F67E9"/>
    <w:rsid w:val="000F70A1"/>
    <w:rsid w:val="001001E0"/>
    <w:rsid w:val="00101DA0"/>
    <w:rsid w:val="001023C9"/>
    <w:rsid w:val="00102B09"/>
    <w:rsid w:val="00102B66"/>
    <w:rsid w:val="00102F8A"/>
    <w:rsid w:val="00104500"/>
    <w:rsid w:val="00104844"/>
    <w:rsid w:val="00104926"/>
    <w:rsid w:val="001059D8"/>
    <w:rsid w:val="00105CA2"/>
    <w:rsid w:val="00107A39"/>
    <w:rsid w:val="00110ED0"/>
    <w:rsid w:val="00111031"/>
    <w:rsid w:val="00112E21"/>
    <w:rsid w:val="00113B1E"/>
    <w:rsid w:val="001155FD"/>
    <w:rsid w:val="00116144"/>
    <w:rsid w:val="001165D0"/>
    <w:rsid w:val="00116671"/>
    <w:rsid w:val="00116B70"/>
    <w:rsid w:val="00116DA5"/>
    <w:rsid w:val="0011711C"/>
    <w:rsid w:val="00117903"/>
    <w:rsid w:val="00120396"/>
    <w:rsid w:val="00121376"/>
    <w:rsid w:val="00121762"/>
    <w:rsid w:val="00121B81"/>
    <w:rsid w:val="0012252D"/>
    <w:rsid w:val="00123530"/>
    <w:rsid w:val="0012367D"/>
    <w:rsid w:val="00124395"/>
    <w:rsid w:val="0012482B"/>
    <w:rsid w:val="00124E47"/>
    <w:rsid w:val="00124E4F"/>
    <w:rsid w:val="00125815"/>
    <w:rsid w:val="001260B7"/>
    <w:rsid w:val="001265CB"/>
    <w:rsid w:val="001268B6"/>
    <w:rsid w:val="00127635"/>
    <w:rsid w:val="00127E58"/>
    <w:rsid w:val="00130299"/>
    <w:rsid w:val="0013048F"/>
    <w:rsid w:val="00131AFD"/>
    <w:rsid w:val="001321C6"/>
    <w:rsid w:val="001321F2"/>
    <w:rsid w:val="001325C4"/>
    <w:rsid w:val="00132758"/>
    <w:rsid w:val="001329F4"/>
    <w:rsid w:val="00133010"/>
    <w:rsid w:val="001334E2"/>
    <w:rsid w:val="001338EE"/>
    <w:rsid w:val="00133924"/>
    <w:rsid w:val="00133AAE"/>
    <w:rsid w:val="00135323"/>
    <w:rsid w:val="00135328"/>
    <w:rsid w:val="001356C4"/>
    <w:rsid w:val="00135EBF"/>
    <w:rsid w:val="00136473"/>
    <w:rsid w:val="001364DF"/>
    <w:rsid w:val="00136BFE"/>
    <w:rsid w:val="00140465"/>
    <w:rsid w:val="00141114"/>
    <w:rsid w:val="0014112D"/>
    <w:rsid w:val="001414CC"/>
    <w:rsid w:val="00141E78"/>
    <w:rsid w:val="00142969"/>
    <w:rsid w:val="0014337F"/>
    <w:rsid w:val="00143464"/>
    <w:rsid w:val="0014362D"/>
    <w:rsid w:val="001438FE"/>
    <w:rsid w:val="00144EEA"/>
    <w:rsid w:val="001456EB"/>
    <w:rsid w:val="001457E7"/>
    <w:rsid w:val="00145D9D"/>
    <w:rsid w:val="001460C2"/>
    <w:rsid w:val="00146388"/>
    <w:rsid w:val="00147078"/>
    <w:rsid w:val="001471A2"/>
    <w:rsid w:val="00150651"/>
    <w:rsid w:val="0015096F"/>
    <w:rsid w:val="001509B6"/>
    <w:rsid w:val="0015100C"/>
    <w:rsid w:val="00151FF5"/>
    <w:rsid w:val="0015266C"/>
    <w:rsid w:val="001529E5"/>
    <w:rsid w:val="00152DE0"/>
    <w:rsid w:val="00153C7E"/>
    <w:rsid w:val="00153F47"/>
    <w:rsid w:val="001541AE"/>
    <w:rsid w:val="001542E8"/>
    <w:rsid w:val="00154984"/>
    <w:rsid w:val="00155626"/>
    <w:rsid w:val="00155BB9"/>
    <w:rsid w:val="00156B25"/>
    <w:rsid w:val="00156E1A"/>
    <w:rsid w:val="00157B55"/>
    <w:rsid w:val="00157CFC"/>
    <w:rsid w:val="001604F2"/>
    <w:rsid w:val="00160FA6"/>
    <w:rsid w:val="0016121E"/>
    <w:rsid w:val="00162BAD"/>
    <w:rsid w:val="00162C6C"/>
    <w:rsid w:val="0016360B"/>
    <w:rsid w:val="0016362B"/>
    <w:rsid w:val="00163FFF"/>
    <w:rsid w:val="001642FA"/>
    <w:rsid w:val="001649EB"/>
    <w:rsid w:val="00164BAF"/>
    <w:rsid w:val="00164E3B"/>
    <w:rsid w:val="00164FA8"/>
    <w:rsid w:val="00165053"/>
    <w:rsid w:val="00165065"/>
    <w:rsid w:val="0016510F"/>
    <w:rsid w:val="00165434"/>
    <w:rsid w:val="0016580B"/>
    <w:rsid w:val="00165F49"/>
    <w:rsid w:val="001667A2"/>
    <w:rsid w:val="00166B88"/>
    <w:rsid w:val="00166DA2"/>
    <w:rsid w:val="0016770A"/>
    <w:rsid w:val="001702FF"/>
    <w:rsid w:val="00170303"/>
    <w:rsid w:val="00170804"/>
    <w:rsid w:val="001708E9"/>
    <w:rsid w:val="00170951"/>
    <w:rsid w:val="00170A53"/>
    <w:rsid w:val="00170AD7"/>
    <w:rsid w:val="00170D0D"/>
    <w:rsid w:val="00170D26"/>
    <w:rsid w:val="00171FF4"/>
    <w:rsid w:val="001728D6"/>
    <w:rsid w:val="00172DF2"/>
    <w:rsid w:val="0017340B"/>
    <w:rsid w:val="00173DB0"/>
    <w:rsid w:val="00173FB1"/>
    <w:rsid w:val="00174D6E"/>
    <w:rsid w:val="00175401"/>
    <w:rsid w:val="001755F5"/>
    <w:rsid w:val="00176265"/>
    <w:rsid w:val="00176DFD"/>
    <w:rsid w:val="00176F08"/>
    <w:rsid w:val="001815A2"/>
    <w:rsid w:val="001826AA"/>
    <w:rsid w:val="00182851"/>
    <w:rsid w:val="001834F3"/>
    <w:rsid w:val="001852C9"/>
    <w:rsid w:val="001861ED"/>
    <w:rsid w:val="00186A48"/>
    <w:rsid w:val="00187FCA"/>
    <w:rsid w:val="00190087"/>
    <w:rsid w:val="001909F5"/>
    <w:rsid w:val="001913C4"/>
    <w:rsid w:val="001916D6"/>
    <w:rsid w:val="00192394"/>
    <w:rsid w:val="0019340D"/>
    <w:rsid w:val="00193424"/>
    <w:rsid w:val="0019348F"/>
    <w:rsid w:val="00193A07"/>
    <w:rsid w:val="00193B06"/>
    <w:rsid w:val="00194C95"/>
    <w:rsid w:val="00194CCA"/>
    <w:rsid w:val="00194D42"/>
    <w:rsid w:val="001954B0"/>
    <w:rsid w:val="00195A36"/>
    <w:rsid w:val="00195C34"/>
    <w:rsid w:val="00195E24"/>
    <w:rsid w:val="00197AF4"/>
    <w:rsid w:val="00197DA7"/>
    <w:rsid w:val="001A0060"/>
    <w:rsid w:val="001A0F05"/>
    <w:rsid w:val="001A181D"/>
    <w:rsid w:val="001A1A53"/>
    <w:rsid w:val="001A22B2"/>
    <w:rsid w:val="001A234A"/>
    <w:rsid w:val="001A3304"/>
    <w:rsid w:val="001A34A8"/>
    <w:rsid w:val="001A6CE4"/>
    <w:rsid w:val="001A7984"/>
    <w:rsid w:val="001A7C07"/>
    <w:rsid w:val="001B06E8"/>
    <w:rsid w:val="001B0C41"/>
    <w:rsid w:val="001B10B3"/>
    <w:rsid w:val="001B1100"/>
    <w:rsid w:val="001B127E"/>
    <w:rsid w:val="001B193E"/>
    <w:rsid w:val="001B2018"/>
    <w:rsid w:val="001B2295"/>
    <w:rsid w:val="001B2552"/>
    <w:rsid w:val="001B50A2"/>
    <w:rsid w:val="001B56DD"/>
    <w:rsid w:val="001B698F"/>
    <w:rsid w:val="001B6AB8"/>
    <w:rsid w:val="001B6B8D"/>
    <w:rsid w:val="001B71D0"/>
    <w:rsid w:val="001B71EE"/>
    <w:rsid w:val="001B7C92"/>
    <w:rsid w:val="001C01B6"/>
    <w:rsid w:val="001C04A8"/>
    <w:rsid w:val="001C2C03"/>
    <w:rsid w:val="001C2DA8"/>
    <w:rsid w:val="001C3467"/>
    <w:rsid w:val="001C3C57"/>
    <w:rsid w:val="001C3E14"/>
    <w:rsid w:val="001C42F7"/>
    <w:rsid w:val="001C49E5"/>
    <w:rsid w:val="001C4B2B"/>
    <w:rsid w:val="001C51EE"/>
    <w:rsid w:val="001C5A26"/>
    <w:rsid w:val="001C5B86"/>
    <w:rsid w:val="001C6124"/>
    <w:rsid w:val="001C680C"/>
    <w:rsid w:val="001C6B5B"/>
    <w:rsid w:val="001C7FEA"/>
    <w:rsid w:val="001D0499"/>
    <w:rsid w:val="001D0BBE"/>
    <w:rsid w:val="001D0CEB"/>
    <w:rsid w:val="001D0ED4"/>
    <w:rsid w:val="001D1113"/>
    <w:rsid w:val="001D1493"/>
    <w:rsid w:val="001D212F"/>
    <w:rsid w:val="001D23C1"/>
    <w:rsid w:val="001D29D7"/>
    <w:rsid w:val="001D2DE7"/>
    <w:rsid w:val="001D3030"/>
    <w:rsid w:val="001D411C"/>
    <w:rsid w:val="001D4B96"/>
    <w:rsid w:val="001D5D07"/>
    <w:rsid w:val="001D5DD9"/>
    <w:rsid w:val="001D6F02"/>
    <w:rsid w:val="001D775B"/>
    <w:rsid w:val="001E051A"/>
    <w:rsid w:val="001E1002"/>
    <w:rsid w:val="001E1601"/>
    <w:rsid w:val="001E1B6A"/>
    <w:rsid w:val="001E246D"/>
    <w:rsid w:val="001E2484"/>
    <w:rsid w:val="001E2983"/>
    <w:rsid w:val="001E3A20"/>
    <w:rsid w:val="001E3CC4"/>
    <w:rsid w:val="001E4096"/>
    <w:rsid w:val="001E4882"/>
    <w:rsid w:val="001E5CC3"/>
    <w:rsid w:val="001E5E65"/>
    <w:rsid w:val="001E61E7"/>
    <w:rsid w:val="001E639D"/>
    <w:rsid w:val="001E73AB"/>
    <w:rsid w:val="001F04F1"/>
    <w:rsid w:val="001F092D"/>
    <w:rsid w:val="001F0BD1"/>
    <w:rsid w:val="001F13F0"/>
    <w:rsid w:val="001F143A"/>
    <w:rsid w:val="001F1605"/>
    <w:rsid w:val="001F1FBA"/>
    <w:rsid w:val="001F2508"/>
    <w:rsid w:val="001F2AD0"/>
    <w:rsid w:val="001F2CBA"/>
    <w:rsid w:val="001F47BB"/>
    <w:rsid w:val="001F4816"/>
    <w:rsid w:val="001F4B1B"/>
    <w:rsid w:val="001F6348"/>
    <w:rsid w:val="001F69B4"/>
    <w:rsid w:val="001F6A3D"/>
    <w:rsid w:val="001F77C7"/>
    <w:rsid w:val="00200183"/>
    <w:rsid w:val="00200516"/>
    <w:rsid w:val="0020052E"/>
    <w:rsid w:val="00200DA8"/>
    <w:rsid w:val="0020107D"/>
    <w:rsid w:val="00202AA4"/>
    <w:rsid w:val="002031F7"/>
    <w:rsid w:val="00203FF0"/>
    <w:rsid w:val="002040E6"/>
    <w:rsid w:val="002041C0"/>
    <w:rsid w:val="00204F69"/>
    <w:rsid w:val="0020527B"/>
    <w:rsid w:val="00205F2C"/>
    <w:rsid w:val="002068F2"/>
    <w:rsid w:val="002076C2"/>
    <w:rsid w:val="00207BEB"/>
    <w:rsid w:val="002101DC"/>
    <w:rsid w:val="002109AD"/>
    <w:rsid w:val="00210B15"/>
    <w:rsid w:val="00210D31"/>
    <w:rsid w:val="0021150A"/>
    <w:rsid w:val="00211AC7"/>
    <w:rsid w:val="00213D7D"/>
    <w:rsid w:val="002142EA"/>
    <w:rsid w:val="00214939"/>
    <w:rsid w:val="00215E0A"/>
    <w:rsid w:val="002160A6"/>
    <w:rsid w:val="002163D5"/>
    <w:rsid w:val="002172CD"/>
    <w:rsid w:val="002172D7"/>
    <w:rsid w:val="00217401"/>
    <w:rsid w:val="0021768B"/>
    <w:rsid w:val="00217D95"/>
    <w:rsid w:val="00220134"/>
    <w:rsid w:val="002204BB"/>
    <w:rsid w:val="002210C8"/>
    <w:rsid w:val="00221B79"/>
    <w:rsid w:val="00221C6B"/>
    <w:rsid w:val="00222D15"/>
    <w:rsid w:val="00223C05"/>
    <w:rsid w:val="00224596"/>
    <w:rsid w:val="0022494F"/>
    <w:rsid w:val="00224AE8"/>
    <w:rsid w:val="002253A1"/>
    <w:rsid w:val="00225CF8"/>
    <w:rsid w:val="0022641F"/>
    <w:rsid w:val="002270EC"/>
    <w:rsid w:val="00227331"/>
    <w:rsid w:val="0022794E"/>
    <w:rsid w:val="00230689"/>
    <w:rsid w:val="00230DBB"/>
    <w:rsid w:val="002312FA"/>
    <w:rsid w:val="00231CB7"/>
    <w:rsid w:val="00232F04"/>
    <w:rsid w:val="002333F3"/>
    <w:rsid w:val="00233B1A"/>
    <w:rsid w:val="00233D64"/>
    <w:rsid w:val="00233F85"/>
    <w:rsid w:val="00234784"/>
    <w:rsid w:val="0023482A"/>
    <w:rsid w:val="00234A97"/>
    <w:rsid w:val="00235209"/>
    <w:rsid w:val="002359CB"/>
    <w:rsid w:val="00235C0E"/>
    <w:rsid w:val="00237C32"/>
    <w:rsid w:val="00241007"/>
    <w:rsid w:val="00241E6D"/>
    <w:rsid w:val="00242027"/>
    <w:rsid w:val="00243540"/>
    <w:rsid w:val="002441BF"/>
    <w:rsid w:val="00244339"/>
    <w:rsid w:val="0024497B"/>
    <w:rsid w:val="0024515B"/>
    <w:rsid w:val="0024531F"/>
    <w:rsid w:val="00246021"/>
    <w:rsid w:val="0024666E"/>
    <w:rsid w:val="00246C3D"/>
    <w:rsid w:val="00247B6D"/>
    <w:rsid w:val="00247F52"/>
    <w:rsid w:val="00250222"/>
    <w:rsid w:val="00250529"/>
    <w:rsid w:val="00250855"/>
    <w:rsid w:val="00250937"/>
    <w:rsid w:val="00250B25"/>
    <w:rsid w:val="00250BBE"/>
    <w:rsid w:val="00251182"/>
    <w:rsid w:val="00251451"/>
    <w:rsid w:val="002515C2"/>
    <w:rsid w:val="002517FE"/>
    <w:rsid w:val="0025194F"/>
    <w:rsid w:val="00251B81"/>
    <w:rsid w:val="0025244E"/>
    <w:rsid w:val="0025300F"/>
    <w:rsid w:val="00253B4A"/>
    <w:rsid w:val="00254F87"/>
    <w:rsid w:val="00255362"/>
    <w:rsid w:val="002559CC"/>
    <w:rsid w:val="00256A54"/>
    <w:rsid w:val="00256A58"/>
    <w:rsid w:val="00257900"/>
    <w:rsid w:val="00257A0F"/>
    <w:rsid w:val="00260426"/>
    <w:rsid w:val="002610D9"/>
    <w:rsid w:val="0026148A"/>
    <w:rsid w:val="00262696"/>
    <w:rsid w:val="002634BC"/>
    <w:rsid w:val="00263EF8"/>
    <w:rsid w:val="002643C3"/>
    <w:rsid w:val="00264A0C"/>
    <w:rsid w:val="00265B97"/>
    <w:rsid w:val="00265FB3"/>
    <w:rsid w:val="0026710E"/>
    <w:rsid w:val="00267ED2"/>
    <w:rsid w:val="00267EF4"/>
    <w:rsid w:val="00270CB8"/>
    <w:rsid w:val="00270DF5"/>
    <w:rsid w:val="0027133F"/>
    <w:rsid w:val="00272706"/>
    <w:rsid w:val="00272790"/>
    <w:rsid w:val="00272B08"/>
    <w:rsid w:val="00274E13"/>
    <w:rsid w:val="00275D7C"/>
    <w:rsid w:val="00275F4F"/>
    <w:rsid w:val="00276ED7"/>
    <w:rsid w:val="00280D52"/>
    <w:rsid w:val="0028128E"/>
    <w:rsid w:val="002819D5"/>
    <w:rsid w:val="00281BB8"/>
    <w:rsid w:val="00281E9E"/>
    <w:rsid w:val="00282DCE"/>
    <w:rsid w:val="00283AE6"/>
    <w:rsid w:val="00285170"/>
    <w:rsid w:val="00285361"/>
    <w:rsid w:val="00286699"/>
    <w:rsid w:val="00287453"/>
    <w:rsid w:val="00287618"/>
    <w:rsid w:val="0028761B"/>
    <w:rsid w:val="002877DB"/>
    <w:rsid w:val="0028799D"/>
    <w:rsid w:val="002904AD"/>
    <w:rsid w:val="002906FA"/>
    <w:rsid w:val="0029149E"/>
    <w:rsid w:val="002914FF"/>
    <w:rsid w:val="00292D60"/>
    <w:rsid w:val="00293A78"/>
    <w:rsid w:val="00294157"/>
    <w:rsid w:val="00294274"/>
    <w:rsid w:val="002944E5"/>
    <w:rsid w:val="002949E3"/>
    <w:rsid w:val="00294B74"/>
    <w:rsid w:val="00294D34"/>
    <w:rsid w:val="00294E3B"/>
    <w:rsid w:val="002951D2"/>
    <w:rsid w:val="00296193"/>
    <w:rsid w:val="00296C66"/>
    <w:rsid w:val="00296EBE"/>
    <w:rsid w:val="002974E3"/>
    <w:rsid w:val="00297619"/>
    <w:rsid w:val="00297EF1"/>
    <w:rsid w:val="002A0549"/>
    <w:rsid w:val="002A084B"/>
    <w:rsid w:val="002A1260"/>
    <w:rsid w:val="002A139C"/>
    <w:rsid w:val="002A1589"/>
    <w:rsid w:val="002A1608"/>
    <w:rsid w:val="002A1714"/>
    <w:rsid w:val="002A1C17"/>
    <w:rsid w:val="002A2384"/>
    <w:rsid w:val="002A25DC"/>
    <w:rsid w:val="002A30FD"/>
    <w:rsid w:val="002A343B"/>
    <w:rsid w:val="002A3AAB"/>
    <w:rsid w:val="002A3B02"/>
    <w:rsid w:val="002A3C29"/>
    <w:rsid w:val="002A3C3D"/>
    <w:rsid w:val="002A3E4B"/>
    <w:rsid w:val="002A44E5"/>
    <w:rsid w:val="002A4CEA"/>
    <w:rsid w:val="002A5977"/>
    <w:rsid w:val="002A5A13"/>
    <w:rsid w:val="002A6054"/>
    <w:rsid w:val="002A6382"/>
    <w:rsid w:val="002A689B"/>
    <w:rsid w:val="002A6E5F"/>
    <w:rsid w:val="002A6E75"/>
    <w:rsid w:val="002A757F"/>
    <w:rsid w:val="002A7C08"/>
    <w:rsid w:val="002A7F44"/>
    <w:rsid w:val="002B0C40"/>
    <w:rsid w:val="002B1966"/>
    <w:rsid w:val="002B23E3"/>
    <w:rsid w:val="002B382C"/>
    <w:rsid w:val="002B4508"/>
    <w:rsid w:val="002B5779"/>
    <w:rsid w:val="002B5FC6"/>
    <w:rsid w:val="002B62D0"/>
    <w:rsid w:val="002B648E"/>
    <w:rsid w:val="002B7332"/>
    <w:rsid w:val="002B7F51"/>
    <w:rsid w:val="002C00D6"/>
    <w:rsid w:val="002C02EA"/>
    <w:rsid w:val="002C09E7"/>
    <w:rsid w:val="002C17F7"/>
    <w:rsid w:val="002C18AE"/>
    <w:rsid w:val="002C208D"/>
    <w:rsid w:val="002C2531"/>
    <w:rsid w:val="002C2947"/>
    <w:rsid w:val="002C2DCC"/>
    <w:rsid w:val="002C3115"/>
    <w:rsid w:val="002C3F07"/>
    <w:rsid w:val="002C4A27"/>
    <w:rsid w:val="002C5278"/>
    <w:rsid w:val="002C5608"/>
    <w:rsid w:val="002C570A"/>
    <w:rsid w:val="002C5C3F"/>
    <w:rsid w:val="002C6E10"/>
    <w:rsid w:val="002C71DD"/>
    <w:rsid w:val="002C7EBB"/>
    <w:rsid w:val="002C7F8E"/>
    <w:rsid w:val="002D06C1"/>
    <w:rsid w:val="002D2624"/>
    <w:rsid w:val="002D2B3E"/>
    <w:rsid w:val="002D31B4"/>
    <w:rsid w:val="002D3886"/>
    <w:rsid w:val="002D3B89"/>
    <w:rsid w:val="002D3EE7"/>
    <w:rsid w:val="002D42B5"/>
    <w:rsid w:val="002D4F1A"/>
    <w:rsid w:val="002D6151"/>
    <w:rsid w:val="002D6DA6"/>
    <w:rsid w:val="002D6EC6"/>
    <w:rsid w:val="002D7462"/>
    <w:rsid w:val="002D79AC"/>
    <w:rsid w:val="002E039D"/>
    <w:rsid w:val="002E0F46"/>
    <w:rsid w:val="002E164C"/>
    <w:rsid w:val="002E1F4E"/>
    <w:rsid w:val="002E33CE"/>
    <w:rsid w:val="002E3F71"/>
    <w:rsid w:val="002E44B1"/>
    <w:rsid w:val="002E4610"/>
    <w:rsid w:val="002E4708"/>
    <w:rsid w:val="002E4D1D"/>
    <w:rsid w:val="002E4D5A"/>
    <w:rsid w:val="002E5ED3"/>
    <w:rsid w:val="002E5F1A"/>
    <w:rsid w:val="002E61DC"/>
    <w:rsid w:val="002E6326"/>
    <w:rsid w:val="002E69BB"/>
    <w:rsid w:val="002E69F8"/>
    <w:rsid w:val="002E6CFE"/>
    <w:rsid w:val="002E73E1"/>
    <w:rsid w:val="002E7FF7"/>
    <w:rsid w:val="002F1B60"/>
    <w:rsid w:val="002F1D39"/>
    <w:rsid w:val="002F2A20"/>
    <w:rsid w:val="002F30E0"/>
    <w:rsid w:val="002F35E4"/>
    <w:rsid w:val="002F3679"/>
    <w:rsid w:val="002F3730"/>
    <w:rsid w:val="002F3855"/>
    <w:rsid w:val="002F38E1"/>
    <w:rsid w:val="002F4F4F"/>
    <w:rsid w:val="002F5116"/>
    <w:rsid w:val="002F55D5"/>
    <w:rsid w:val="002F6884"/>
    <w:rsid w:val="002F7011"/>
    <w:rsid w:val="002F7188"/>
    <w:rsid w:val="002F7643"/>
    <w:rsid w:val="002F7AF6"/>
    <w:rsid w:val="002F7F99"/>
    <w:rsid w:val="00300E0D"/>
    <w:rsid w:val="00300E63"/>
    <w:rsid w:val="0030287F"/>
    <w:rsid w:val="00302F5F"/>
    <w:rsid w:val="00303364"/>
    <w:rsid w:val="0030441D"/>
    <w:rsid w:val="003045B6"/>
    <w:rsid w:val="003047ED"/>
    <w:rsid w:val="00304F4A"/>
    <w:rsid w:val="003055EA"/>
    <w:rsid w:val="00305943"/>
    <w:rsid w:val="00306063"/>
    <w:rsid w:val="00306F40"/>
    <w:rsid w:val="00311A56"/>
    <w:rsid w:val="00311C8E"/>
    <w:rsid w:val="00313B85"/>
    <w:rsid w:val="003155E4"/>
    <w:rsid w:val="0031569B"/>
    <w:rsid w:val="003158EC"/>
    <w:rsid w:val="00316AAE"/>
    <w:rsid w:val="00317988"/>
    <w:rsid w:val="00320B44"/>
    <w:rsid w:val="00321149"/>
    <w:rsid w:val="00321D40"/>
    <w:rsid w:val="003221B4"/>
    <w:rsid w:val="00322408"/>
    <w:rsid w:val="003226D4"/>
    <w:rsid w:val="0032282C"/>
    <w:rsid w:val="00322E62"/>
    <w:rsid w:val="0032378B"/>
    <w:rsid w:val="0032405B"/>
    <w:rsid w:val="003242D3"/>
    <w:rsid w:val="00324EDD"/>
    <w:rsid w:val="003253A2"/>
    <w:rsid w:val="00326560"/>
    <w:rsid w:val="00326C0D"/>
    <w:rsid w:val="0032740A"/>
    <w:rsid w:val="0032776F"/>
    <w:rsid w:val="00327ABF"/>
    <w:rsid w:val="00330551"/>
    <w:rsid w:val="003314AC"/>
    <w:rsid w:val="003331E4"/>
    <w:rsid w:val="003336EC"/>
    <w:rsid w:val="00334772"/>
    <w:rsid w:val="00334CEA"/>
    <w:rsid w:val="00335AB8"/>
    <w:rsid w:val="0033628C"/>
    <w:rsid w:val="00336C64"/>
    <w:rsid w:val="00336D0D"/>
    <w:rsid w:val="00337162"/>
    <w:rsid w:val="00337586"/>
    <w:rsid w:val="0034025E"/>
    <w:rsid w:val="003406E6"/>
    <w:rsid w:val="00340A87"/>
    <w:rsid w:val="003414A0"/>
    <w:rsid w:val="003414CC"/>
    <w:rsid w:val="003417DD"/>
    <w:rsid w:val="0034194F"/>
    <w:rsid w:val="00342DB8"/>
    <w:rsid w:val="00344605"/>
    <w:rsid w:val="00344A8B"/>
    <w:rsid w:val="0034523F"/>
    <w:rsid w:val="0034595C"/>
    <w:rsid w:val="00345E34"/>
    <w:rsid w:val="00346417"/>
    <w:rsid w:val="003467E1"/>
    <w:rsid w:val="003474AA"/>
    <w:rsid w:val="0034758B"/>
    <w:rsid w:val="00350D1D"/>
    <w:rsid w:val="00351030"/>
    <w:rsid w:val="003515B9"/>
    <w:rsid w:val="00351901"/>
    <w:rsid w:val="00351BD4"/>
    <w:rsid w:val="003525AA"/>
    <w:rsid w:val="003527CB"/>
    <w:rsid w:val="00352C83"/>
    <w:rsid w:val="00355B62"/>
    <w:rsid w:val="00357391"/>
    <w:rsid w:val="00361005"/>
    <w:rsid w:val="003615D2"/>
    <w:rsid w:val="00361719"/>
    <w:rsid w:val="003617A8"/>
    <w:rsid w:val="00361A84"/>
    <w:rsid w:val="00361B41"/>
    <w:rsid w:val="00363494"/>
    <w:rsid w:val="0036429C"/>
    <w:rsid w:val="003642DC"/>
    <w:rsid w:val="00364A53"/>
    <w:rsid w:val="00364C70"/>
    <w:rsid w:val="0036513D"/>
    <w:rsid w:val="003654CB"/>
    <w:rsid w:val="003657EB"/>
    <w:rsid w:val="00365F86"/>
    <w:rsid w:val="00365F87"/>
    <w:rsid w:val="00367830"/>
    <w:rsid w:val="003705F4"/>
    <w:rsid w:val="00370D58"/>
    <w:rsid w:val="00370FFB"/>
    <w:rsid w:val="003712C2"/>
    <w:rsid w:val="00371316"/>
    <w:rsid w:val="003729F7"/>
    <w:rsid w:val="00372E79"/>
    <w:rsid w:val="003750B8"/>
    <w:rsid w:val="0037524F"/>
    <w:rsid w:val="00375C2F"/>
    <w:rsid w:val="00376713"/>
    <w:rsid w:val="00376F06"/>
    <w:rsid w:val="003777BF"/>
    <w:rsid w:val="00377ED4"/>
    <w:rsid w:val="003804ED"/>
    <w:rsid w:val="00380D4E"/>
    <w:rsid w:val="00381815"/>
    <w:rsid w:val="003819AF"/>
    <w:rsid w:val="003820E9"/>
    <w:rsid w:val="00382B20"/>
    <w:rsid w:val="00382DE7"/>
    <w:rsid w:val="00382E1F"/>
    <w:rsid w:val="00382F40"/>
    <w:rsid w:val="003840A4"/>
    <w:rsid w:val="0038431C"/>
    <w:rsid w:val="0038460E"/>
    <w:rsid w:val="00384D57"/>
    <w:rsid w:val="00384FFB"/>
    <w:rsid w:val="00384FFC"/>
    <w:rsid w:val="0038516C"/>
    <w:rsid w:val="003852B4"/>
    <w:rsid w:val="0038624E"/>
    <w:rsid w:val="00386910"/>
    <w:rsid w:val="00386B16"/>
    <w:rsid w:val="00386EA8"/>
    <w:rsid w:val="00387298"/>
    <w:rsid w:val="003872FC"/>
    <w:rsid w:val="00387691"/>
    <w:rsid w:val="003878C8"/>
    <w:rsid w:val="00387ADC"/>
    <w:rsid w:val="00387C97"/>
    <w:rsid w:val="00390020"/>
    <w:rsid w:val="003903D6"/>
    <w:rsid w:val="00390EE6"/>
    <w:rsid w:val="0039118F"/>
    <w:rsid w:val="003915D9"/>
    <w:rsid w:val="00391718"/>
    <w:rsid w:val="00391763"/>
    <w:rsid w:val="00391FB1"/>
    <w:rsid w:val="0039278C"/>
    <w:rsid w:val="00392AD7"/>
    <w:rsid w:val="00392C8C"/>
    <w:rsid w:val="00392D72"/>
    <w:rsid w:val="00393548"/>
    <w:rsid w:val="003938D9"/>
    <w:rsid w:val="00394376"/>
    <w:rsid w:val="003943FF"/>
    <w:rsid w:val="00395CFE"/>
    <w:rsid w:val="00396110"/>
    <w:rsid w:val="003974EB"/>
    <w:rsid w:val="00397CC5"/>
    <w:rsid w:val="003A0306"/>
    <w:rsid w:val="003A0EBD"/>
    <w:rsid w:val="003A13F1"/>
    <w:rsid w:val="003A1582"/>
    <w:rsid w:val="003A1C26"/>
    <w:rsid w:val="003A202A"/>
    <w:rsid w:val="003A230A"/>
    <w:rsid w:val="003A28FA"/>
    <w:rsid w:val="003A2E92"/>
    <w:rsid w:val="003A39EE"/>
    <w:rsid w:val="003A4077"/>
    <w:rsid w:val="003A4D3E"/>
    <w:rsid w:val="003A6461"/>
    <w:rsid w:val="003A6EF7"/>
    <w:rsid w:val="003A71D1"/>
    <w:rsid w:val="003A74ED"/>
    <w:rsid w:val="003B09AD"/>
    <w:rsid w:val="003B0ADD"/>
    <w:rsid w:val="003B0BD9"/>
    <w:rsid w:val="003B126D"/>
    <w:rsid w:val="003B16F9"/>
    <w:rsid w:val="003B1946"/>
    <w:rsid w:val="003B1F18"/>
    <w:rsid w:val="003B25D8"/>
    <w:rsid w:val="003B2E2C"/>
    <w:rsid w:val="003B30B4"/>
    <w:rsid w:val="003B33C8"/>
    <w:rsid w:val="003B35C2"/>
    <w:rsid w:val="003B4452"/>
    <w:rsid w:val="003B4F08"/>
    <w:rsid w:val="003B5059"/>
    <w:rsid w:val="003B541B"/>
    <w:rsid w:val="003B562C"/>
    <w:rsid w:val="003B5B1E"/>
    <w:rsid w:val="003B5BF0"/>
    <w:rsid w:val="003B60BF"/>
    <w:rsid w:val="003B6BE3"/>
    <w:rsid w:val="003B7BB0"/>
    <w:rsid w:val="003C010C"/>
    <w:rsid w:val="003C0A6C"/>
    <w:rsid w:val="003C1B24"/>
    <w:rsid w:val="003C1F26"/>
    <w:rsid w:val="003C244F"/>
    <w:rsid w:val="003C2854"/>
    <w:rsid w:val="003C2859"/>
    <w:rsid w:val="003C310B"/>
    <w:rsid w:val="003C3B50"/>
    <w:rsid w:val="003C3D98"/>
    <w:rsid w:val="003C4614"/>
    <w:rsid w:val="003C5A43"/>
    <w:rsid w:val="003C6912"/>
    <w:rsid w:val="003C6EB9"/>
    <w:rsid w:val="003C702E"/>
    <w:rsid w:val="003C77A9"/>
    <w:rsid w:val="003D0519"/>
    <w:rsid w:val="003D0A9A"/>
    <w:rsid w:val="003D0C54"/>
    <w:rsid w:val="003D0FF6"/>
    <w:rsid w:val="003D102A"/>
    <w:rsid w:val="003D14C6"/>
    <w:rsid w:val="003D262C"/>
    <w:rsid w:val="003D29A6"/>
    <w:rsid w:val="003D30B9"/>
    <w:rsid w:val="003D3622"/>
    <w:rsid w:val="003D45CF"/>
    <w:rsid w:val="003D4A62"/>
    <w:rsid w:val="003D6276"/>
    <w:rsid w:val="003D6D61"/>
    <w:rsid w:val="003D714D"/>
    <w:rsid w:val="003E091D"/>
    <w:rsid w:val="003E0D62"/>
    <w:rsid w:val="003E1C53"/>
    <w:rsid w:val="003E216F"/>
    <w:rsid w:val="003E2A69"/>
    <w:rsid w:val="003E2D49"/>
    <w:rsid w:val="003E2FD4"/>
    <w:rsid w:val="003E3023"/>
    <w:rsid w:val="003E3B83"/>
    <w:rsid w:val="003E49F6"/>
    <w:rsid w:val="003E591E"/>
    <w:rsid w:val="003E601F"/>
    <w:rsid w:val="003E62DE"/>
    <w:rsid w:val="003E7947"/>
    <w:rsid w:val="003F0000"/>
    <w:rsid w:val="003F0841"/>
    <w:rsid w:val="003F1618"/>
    <w:rsid w:val="003F23D3"/>
    <w:rsid w:val="003F2EFB"/>
    <w:rsid w:val="003F2FD0"/>
    <w:rsid w:val="003F30B5"/>
    <w:rsid w:val="003F3235"/>
    <w:rsid w:val="003F3E63"/>
    <w:rsid w:val="003F3F08"/>
    <w:rsid w:val="003F44BF"/>
    <w:rsid w:val="003F470C"/>
    <w:rsid w:val="003F49F1"/>
    <w:rsid w:val="003F55B2"/>
    <w:rsid w:val="003F5919"/>
    <w:rsid w:val="003F61F9"/>
    <w:rsid w:val="003F6272"/>
    <w:rsid w:val="003F6433"/>
    <w:rsid w:val="003F67EE"/>
    <w:rsid w:val="003F72A3"/>
    <w:rsid w:val="003F73C3"/>
    <w:rsid w:val="003F7452"/>
    <w:rsid w:val="00400B0D"/>
    <w:rsid w:val="00400E72"/>
    <w:rsid w:val="00400F04"/>
    <w:rsid w:val="004010EB"/>
    <w:rsid w:val="00401400"/>
    <w:rsid w:val="00401A3A"/>
    <w:rsid w:val="00403C03"/>
    <w:rsid w:val="0040432A"/>
    <w:rsid w:val="00404869"/>
    <w:rsid w:val="00404A74"/>
    <w:rsid w:val="0040550E"/>
    <w:rsid w:val="004057D2"/>
    <w:rsid w:val="00405884"/>
    <w:rsid w:val="004060F4"/>
    <w:rsid w:val="00406635"/>
    <w:rsid w:val="00406BB5"/>
    <w:rsid w:val="0040730B"/>
    <w:rsid w:val="00407517"/>
    <w:rsid w:val="00407C3D"/>
    <w:rsid w:val="00407D39"/>
    <w:rsid w:val="00407F24"/>
    <w:rsid w:val="00410382"/>
    <w:rsid w:val="00410468"/>
    <w:rsid w:val="0041063F"/>
    <w:rsid w:val="004109BA"/>
    <w:rsid w:val="00411ABF"/>
    <w:rsid w:val="00412044"/>
    <w:rsid w:val="00412581"/>
    <w:rsid w:val="00412EA0"/>
    <w:rsid w:val="0041381F"/>
    <w:rsid w:val="004139EB"/>
    <w:rsid w:val="00413FAD"/>
    <w:rsid w:val="00414410"/>
    <w:rsid w:val="0041477A"/>
    <w:rsid w:val="00414BAA"/>
    <w:rsid w:val="00415AD4"/>
    <w:rsid w:val="004162B9"/>
    <w:rsid w:val="004167A3"/>
    <w:rsid w:val="00416BE2"/>
    <w:rsid w:val="00417E32"/>
    <w:rsid w:val="00421934"/>
    <w:rsid w:val="00422051"/>
    <w:rsid w:val="00422068"/>
    <w:rsid w:val="00423A86"/>
    <w:rsid w:val="00424B3C"/>
    <w:rsid w:val="00424DB9"/>
    <w:rsid w:val="004254BC"/>
    <w:rsid w:val="00425C9F"/>
    <w:rsid w:val="00430913"/>
    <w:rsid w:val="00430E77"/>
    <w:rsid w:val="004317B5"/>
    <w:rsid w:val="00432A28"/>
    <w:rsid w:val="00432DAA"/>
    <w:rsid w:val="0043345C"/>
    <w:rsid w:val="0043362D"/>
    <w:rsid w:val="00433F4A"/>
    <w:rsid w:val="00434305"/>
    <w:rsid w:val="00435173"/>
    <w:rsid w:val="004355E5"/>
    <w:rsid w:val="00435649"/>
    <w:rsid w:val="00435DB1"/>
    <w:rsid w:val="00435DF7"/>
    <w:rsid w:val="004365A2"/>
    <w:rsid w:val="004365D4"/>
    <w:rsid w:val="004368D8"/>
    <w:rsid w:val="00436CBC"/>
    <w:rsid w:val="0044083F"/>
    <w:rsid w:val="00441AE7"/>
    <w:rsid w:val="00442499"/>
    <w:rsid w:val="004425BE"/>
    <w:rsid w:val="00443E8D"/>
    <w:rsid w:val="004444F5"/>
    <w:rsid w:val="00445418"/>
    <w:rsid w:val="00445574"/>
    <w:rsid w:val="00445801"/>
    <w:rsid w:val="00445BD4"/>
    <w:rsid w:val="00445C34"/>
    <w:rsid w:val="00445C3C"/>
    <w:rsid w:val="004464D9"/>
    <w:rsid w:val="004467FB"/>
    <w:rsid w:val="004503A5"/>
    <w:rsid w:val="00450E5F"/>
    <w:rsid w:val="00452D6B"/>
    <w:rsid w:val="00454484"/>
    <w:rsid w:val="00454579"/>
    <w:rsid w:val="004549A4"/>
    <w:rsid w:val="00454E35"/>
    <w:rsid w:val="0045517B"/>
    <w:rsid w:val="00455C6B"/>
    <w:rsid w:val="00455CCB"/>
    <w:rsid w:val="004563CD"/>
    <w:rsid w:val="0045652D"/>
    <w:rsid w:val="004570BE"/>
    <w:rsid w:val="00457B87"/>
    <w:rsid w:val="00460594"/>
    <w:rsid w:val="00461FAA"/>
    <w:rsid w:val="00462ADA"/>
    <w:rsid w:val="00462D2E"/>
    <w:rsid w:val="004630F3"/>
    <w:rsid w:val="004631EF"/>
    <w:rsid w:val="004635C0"/>
    <w:rsid w:val="00463835"/>
    <w:rsid w:val="00463B77"/>
    <w:rsid w:val="00463C7B"/>
    <w:rsid w:val="00463F02"/>
    <w:rsid w:val="004644A6"/>
    <w:rsid w:val="004659BD"/>
    <w:rsid w:val="00465C98"/>
    <w:rsid w:val="00466505"/>
    <w:rsid w:val="00467678"/>
    <w:rsid w:val="004677F9"/>
    <w:rsid w:val="00470775"/>
    <w:rsid w:val="00470C64"/>
    <w:rsid w:val="00471271"/>
    <w:rsid w:val="004715BD"/>
    <w:rsid w:val="00471B97"/>
    <w:rsid w:val="00472680"/>
    <w:rsid w:val="0047333F"/>
    <w:rsid w:val="00473C62"/>
    <w:rsid w:val="004743FA"/>
    <w:rsid w:val="004746B1"/>
    <w:rsid w:val="00475676"/>
    <w:rsid w:val="0047583F"/>
    <w:rsid w:val="00476986"/>
    <w:rsid w:val="00476D1F"/>
    <w:rsid w:val="00476EB2"/>
    <w:rsid w:val="00477B1D"/>
    <w:rsid w:val="004808DD"/>
    <w:rsid w:val="0048101C"/>
    <w:rsid w:val="004811E3"/>
    <w:rsid w:val="00482248"/>
    <w:rsid w:val="004828E5"/>
    <w:rsid w:val="00483C77"/>
    <w:rsid w:val="00484830"/>
    <w:rsid w:val="00484936"/>
    <w:rsid w:val="00484E3C"/>
    <w:rsid w:val="00485087"/>
    <w:rsid w:val="0048516D"/>
    <w:rsid w:val="0048548D"/>
    <w:rsid w:val="00485C89"/>
    <w:rsid w:val="00486471"/>
    <w:rsid w:val="00486BE3"/>
    <w:rsid w:val="004872B2"/>
    <w:rsid w:val="00487710"/>
    <w:rsid w:val="00487CCF"/>
    <w:rsid w:val="00490225"/>
    <w:rsid w:val="004905E4"/>
    <w:rsid w:val="00490A89"/>
    <w:rsid w:val="00490AB4"/>
    <w:rsid w:val="00490EA5"/>
    <w:rsid w:val="0049152B"/>
    <w:rsid w:val="00491BFB"/>
    <w:rsid w:val="004920D8"/>
    <w:rsid w:val="00492F02"/>
    <w:rsid w:val="004939AE"/>
    <w:rsid w:val="00494493"/>
    <w:rsid w:val="00494A48"/>
    <w:rsid w:val="00494BE7"/>
    <w:rsid w:val="0049525E"/>
    <w:rsid w:val="00495694"/>
    <w:rsid w:val="00495A31"/>
    <w:rsid w:val="00495B25"/>
    <w:rsid w:val="00495FA1"/>
    <w:rsid w:val="00495FE8"/>
    <w:rsid w:val="004967D8"/>
    <w:rsid w:val="004A015E"/>
    <w:rsid w:val="004A12DF"/>
    <w:rsid w:val="004A1BA8"/>
    <w:rsid w:val="004A31CC"/>
    <w:rsid w:val="004A31DA"/>
    <w:rsid w:val="004A4A44"/>
    <w:rsid w:val="004A4B57"/>
    <w:rsid w:val="004A5397"/>
    <w:rsid w:val="004A55FE"/>
    <w:rsid w:val="004A63FA"/>
    <w:rsid w:val="004A640D"/>
    <w:rsid w:val="004A7061"/>
    <w:rsid w:val="004A7DC4"/>
    <w:rsid w:val="004B0272"/>
    <w:rsid w:val="004B121B"/>
    <w:rsid w:val="004B2701"/>
    <w:rsid w:val="004B2E1B"/>
    <w:rsid w:val="004B39F1"/>
    <w:rsid w:val="004B3B2D"/>
    <w:rsid w:val="004B3CDC"/>
    <w:rsid w:val="004B3E93"/>
    <w:rsid w:val="004B4380"/>
    <w:rsid w:val="004B618A"/>
    <w:rsid w:val="004B66B5"/>
    <w:rsid w:val="004C008D"/>
    <w:rsid w:val="004C0E6A"/>
    <w:rsid w:val="004C0FA1"/>
    <w:rsid w:val="004C1FBC"/>
    <w:rsid w:val="004C3DF9"/>
    <w:rsid w:val="004C3E53"/>
    <w:rsid w:val="004C3F1D"/>
    <w:rsid w:val="004C458D"/>
    <w:rsid w:val="004C5D4C"/>
    <w:rsid w:val="004C6570"/>
    <w:rsid w:val="004C6774"/>
    <w:rsid w:val="004C7556"/>
    <w:rsid w:val="004C76F2"/>
    <w:rsid w:val="004C7BBC"/>
    <w:rsid w:val="004C7E9D"/>
    <w:rsid w:val="004C7F67"/>
    <w:rsid w:val="004D05D2"/>
    <w:rsid w:val="004D076D"/>
    <w:rsid w:val="004D0EF1"/>
    <w:rsid w:val="004D0FC0"/>
    <w:rsid w:val="004D0FEF"/>
    <w:rsid w:val="004D103C"/>
    <w:rsid w:val="004D189E"/>
    <w:rsid w:val="004D19B9"/>
    <w:rsid w:val="004D2253"/>
    <w:rsid w:val="004D22B1"/>
    <w:rsid w:val="004D2A6C"/>
    <w:rsid w:val="004D383D"/>
    <w:rsid w:val="004D41BC"/>
    <w:rsid w:val="004D4406"/>
    <w:rsid w:val="004D48ED"/>
    <w:rsid w:val="004D4EF2"/>
    <w:rsid w:val="004D5641"/>
    <w:rsid w:val="004D613A"/>
    <w:rsid w:val="004D71EE"/>
    <w:rsid w:val="004D7C42"/>
    <w:rsid w:val="004E02B5"/>
    <w:rsid w:val="004E0456"/>
    <w:rsid w:val="004E0465"/>
    <w:rsid w:val="004E127B"/>
    <w:rsid w:val="004E1C0A"/>
    <w:rsid w:val="004E1D2C"/>
    <w:rsid w:val="004E255B"/>
    <w:rsid w:val="004E3014"/>
    <w:rsid w:val="004E30C5"/>
    <w:rsid w:val="004E346A"/>
    <w:rsid w:val="004E41AE"/>
    <w:rsid w:val="004E4A65"/>
    <w:rsid w:val="004E4AA5"/>
    <w:rsid w:val="004E4AEE"/>
    <w:rsid w:val="004E5451"/>
    <w:rsid w:val="004E59E3"/>
    <w:rsid w:val="004E5C57"/>
    <w:rsid w:val="004E6617"/>
    <w:rsid w:val="004E67C0"/>
    <w:rsid w:val="004E6E2E"/>
    <w:rsid w:val="004E70E2"/>
    <w:rsid w:val="004F14B0"/>
    <w:rsid w:val="004F19BA"/>
    <w:rsid w:val="004F2554"/>
    <w:rsid w:val="004F2816"/>
    <w:rsid w:val="004F37AA"/>
    <w:rsid w:val="004F391A"/>
    <w:rsid w:val="004F3CFB"/>
    <w:rsid w:val="004F436D"/>
    <w:rsid w:val="004F4B20"/>
    <w:rsid w:val="004F4ED6"/>
    <w:rsid w:val="004F528E"/>
    <w:rsid w:val="004F5989"/>
    <w:rsid w:val="004F5D65"/>
    <w:rsid w:val="004F6456"/>
    <w:rsid w:val="004F696E"/>
    <w:rsid w:val="004F6C71"/>
    <w:rsid w:val="004F6E3E"/>
    <w:rsid w:val="004F7069"/>
    <w:rsid w:val="004F7C6D"/>
    <w:rsid w:val="0050018D"/>
    <w:rsid w:val="005001C4"/>
    <w:rsid w:val="005004D3"/>
    <w:rsid w:val="00500E0B"/>
    <w:rsid w:val="00501139"/>
    <w:rsid w:val="00502235"/>
    <w:rsid w:val="00502991"/>
    <w:rsid w:val="00502A4B"/>
    <w:rsid w:val="005033FD"/>
    <w:rsid w:val="0050363E"/>
    <w:rsid w:val="005039BC"/>
    <w:rsid w:val="00503C73"/>
    <w:rsid w:val="005043BB"/>
    <w:rsid w:val="0050461D"/>
    <w:rsid w:val="00504A3D"/>
    <w:rsid w:val="00504C14"/>
    <w:rsid w:val="00505211"/>
    <w:rsid w:val="00505767"/>
    <w:rsid w:val="00505DF8"/>
    <w:rsid w:val="00505FEF"/>
    <w:rsid w:val="00506152"/>
    <w:rsid w:val="005065DC"/>
    <w:rsid w:val="00506B7E"/>
    <w:rsid w:val="005073F0"/>
    <w:rsid w:val="00507D4A"/>
    <w:rsid w:val="00510408"/>
    <w:rsid w:val="00510A7B"/>
    <w:rsid w:val="0051183B"/>
    <w:rsid w:val="005123FF"/>
    <w:rsid w:val="00512625"/>
    <w:rsid w:val="00512F6E"/>
    <w:rsid w:val="00513038"/>
    <w:rsid w:val="005134E8"/>
    <w:rsid w:val="00513896"/>
    <w:rsid w:val="005138B3"/>
    <w:rsid w:val="00514174"/>
    <w:rsid w:val="00515FA2"/>
    <w:rsid w:val="00516088"/>
    <w:rsid w:val="00516B0B"/>
    <w:rsid w:val="005175D0"/>
    <w:rsid w:val="005207F4"/>
    <w:rsid w:val="00520DEC"/>
    <w:rsid w:val="00521144"/>
    <w:rsid w:val="005214BF"/>
    <w:rsid w:val="005218DE"/>
    <w:rsid w:val="005220EC"/>
    <w:rsid w:val="0052218B"/>
    <w:rsid w:val="0052238F"/>
    <w:rsid w:val="0052268B"/>
    <w:rsid w:val="005235DC"/>
    <w:rsid w:val="00523F95"/>
    <w:rsid w:val="005241EF"/>
    <w:rsid w:val="00524922"/>
    <w:rsid w:val="00524AA2"/>
    <w:rsid w:val="00524D65"/>
    <w:rsid w:val="00525156"/>
    <w:rsid w:val="005256C6"/>
    <w:rsid w:val="00525A8A"/>
    <w:rsid w:val="00525B16"/>
    <w:rsid w:val="00526891"/>
    <w:rsid w:val="0052697B"/>
    <w:rsid w:val="00526D24"/>
    <w:rsid w:val="005274D9"/>
    <w:rsid w:val="0052761D"/>
    <w:rsid w:val="00530877"/>
    <w:rsid w:val="00530ACD"/>
    <w:rsid w:val="00531812"/>
    <w:rsid w:val="00532560"/>
    <w:rsid w:val="00532624"/>
    <w:rsid w:val="00533162"/>
    <w:rsid w:val="00533364"/>
    <w:rsid w:val="00533C2A"/>
    <w:rsid w:val="00533D04"/>
    <w:rsid w:val="00533D8D"/>
    <w:rsid w:val="00534709"/>
    <w:rsid w:val="00534804"/>
    <w:rsid w:val="00534BDF"/>
    <w:rsid w:val="00534E01"/>
    <w:rsid w:val="00535186"/>
    <w:rsid w:val="00535277"/>
    <w:rsid w:val="005354EA"/>
    <w:rsid w:val="00535B7E"/>
    <w:rsid w:val="00535EC4"/>
    <w:rsid w:val="00535ED9"/>
    <w:rsid w:val="005365F3"/>
    <w:rsid w:val="0053692B"/>
    <w:rsid w:val="00536E3C"/>
    <w:rsid w:val="00536EC8"/>
    <w:rsid w:val="00537622"/>
    <w:rsid w:val="00537A23"/>
    <w:rsid w:val="00537CC7"/>
    <w:rsid w:val="005408F6"/>
    <w:rsid w:val="0054141F"/>
    <w:rsid w:val="00541853"/>
    <w:rsid w:val="005419C6"/>
    <w:rsid w:val="00541AA7"/>
    <w:rsid w:val="00541BEF"/>
    <w:rsid w:val="00542002"/>
    <w:rsid w:val="00542650"/>
    <w:rsid w:val="00542AA5"/>
    <w:rsid w:val="00542D42"/>
    <w:rsid w:val="00542D7D"/>
    <w:rsid w:val="005437F3"/>
    <w:rsid w:val="00543BDA"/>
    <w:rsid w:val="005441CC"/>
    <w:rsid w:val="00544AF2"/>
    <w:rsid w:val="00545BE2"/>
    <w:rsid w:val="00546197"/>
    <w:rsid w:val="005462DC"/>
    <w:rsid w:val="00546938"/>
    <w:rsid w:val="005474ED"/>
    <w:rsid w:val="00547663"/>
    <w:rsid w:val="00547716"/>
    <w:rsid w:val="0054778F"/>
    <w:rsid w:val="005479DA"/>
    <w:rsid w:val="00547BCC"/>
    <w:rsid w:val="0055013B"/>
    <w:rsid w:val="00551F6F"/>
    <w:rsid w:val="0055360C"/>
    <w:rsid w:val="00553CBF"/>
    <w:rsid w:val="00554496"/>
    <w:rsid w:val="00555044"/>
    <w:rsid w:val="005554AA"/>
    <w:rsid w:val="005573F4"/>
    <w:rsid w:val="0055753C"/>
    <w:rsid w:val="005579E9"/>
    <w:rsid w:val="00557C1B"/>
    <w:rsid w:val="00557E14"/>
    <w:rsid w:val="005600F2"/>
    <w:rsid w:val="005605D9"/>
    <w:rsid w:val="00561475"/>
    <w:rsid w:val="005618AA"/>
    <w:rsid w:val="005624C2"/>
    <w:rsid w:val="00562582"/>
    <w:rsid w:val="005627C2"/>
    <w:rsid w:val="00562945"/>
    <w:rsid w:val="00562D67"/>
    <w:rsid w:val="005640A8"/>
    <w:rsid w:val="0056487B"/>
    <w:rsid w:val="00564FB9"/>
    <w:rsid w:val="005654F6"/>
    <w:rsid w:val="0056555F"/>
    <w:rsid w:val="005655F5"/>
    <w:rsid w:val="00565F99"/>
    <w:rsid w:val="005666B7"/>
    <w:rsid w:val="005667F6"/>
    <w:rsid w:val="005668E3"/>
    <w:rsid w:val="00566A76"/>
    <w:rsid w:val="00566E08"/>
    <w:rsid w:val="0057001D"/>
    <w:rsid w:val="005704B4"/>
    <w:rsid w:val="00572FB3"/>
    <w:rsid w:val="0057332A"/>
    <w:rsid w:val="005735BC"/>
    <w:rsid w:val="005739DF"/>
    <w:rsid w:val="00573D9E"/>
    <w:rsid w:val="00573DBC"/>
    <w:rsid w:val="00573E2E"/>
    <w:rsid w:val="00574206"/>
    <w:rsid w:val="00575C13"/>
    <w:rsid w:val="00576108"/>
    <w:rsid w:val="00576406"/>
    <w:rsid w:val="005764E0"/>
    <w:rsid w:val="00577119"/>
    <w:rsid w:val="00577789"/>
    <w:rsid w:val="005801E3"/>
    <w:rsid w:val="00580DD2"/>
    <w:rsid w:val="00581802"/>
    <w:rsid w:val="00581C68"/>
    <w:rsid w:val="0058226B"/>
    <w:rsid w:val="005829FD"/>
    <w:rsid w:val="005836A8"/>
    <w:rsid w:val="0058409C"/>
    <w:rsid w:val="0058411F"/>
    <w:rsid w:val="00584262"/>
    <w:rsid w:val="00585A5D"/>
    <w:rsid w:val="00586630"/>
    <w:rsid w:val="00586E1B"/>
    <w:rsid w:val="005870B7"/>
    <w:rsid w:val="00587ADD"/>
    <w:rsid w:val="00590B36"/>
    <w:rsid w:val="00591B1E"/>
    <w:rsid w:val="00594028"/>
    <w:rsid w:val="0059537A"/>
    <w:rsid w:val="00596160"/>
    <w:rsid w:val="005966E2"/>
    <w:rsid w:val="00597007"/>
    <w:rsid w:val="0059715C"/>
    <w:rsid w:val="005A0966"/>
    <w:rsid w:val="005A11B7"/>
    <w:rsid w:val="005A14E5"/>
    <w:rsid w:val="005A162D"/>
    <w:rsid w:val="005A17CD"/>
    <w:rsid w:val="005A1ADD"/>
    <w:rsid w:val="005A1BFD"/>
    <w:rsid w:val="005A2454"/>
    <w:rsid w:val="005A260B"/>
    <w:rsid w:val="005A2E7E"/>
    <w:rsid w:val="005A31FA"/>
    <w:rsid w:val="005A39B7"/>
    <w:rsid w:val="005A3DAC"/>
    <w:rsid w:val="005A4989"/>
    <w:rsid w:val="005A4A1B"/>
    <w:rsid w:val="005A4C20"/>
    <w:rsid w:val="005A5B19"/>
    <w:rsid w:val="005A5DFF"/>
    <w:rsid w:val="005A6591"/>
    <w:rsid w:val="005A6C9B"/>
    <w:rsid w:val="005A7830"/>
    <w:rsid w:val="005A7F1E"/>
    <w:rsid w:val="005A7FCE"/>
    <w:rsid w:val="005B0F3F"/>
    <w:rsid w:val="005B17DB"/>
    <w:rsid w:val="005B191B"/>
    <w:rsid w:val="005B2978"/>
    <w:rsid w:val="005B3645"/>
    <w:rsid w:val="005B3E29"/>
    <w:rsid w:val="005B47D1"/>
    <w:rsid w:val="005B48B8"/>
    <w:rsid w:val="005B4903"/>
    <w:rsid w:val="005B51CE"/>
    <w:rsid w:val="005B5885"/>
    <w:rsid w:val="005B5CD7"/>
    <w:rsid w:val="005B64E8"/>
    <w:rsid w:val="005B6CF6"/>
    <w:rsid w:val="005B6DB8"/>
    <w:rsid w:val="005B72E6"/>
    <w:rsid w:val="005B7422"/>
    <w:rsid w:val="005B746F"/>
    <w:rsid w:val="005B76DC"/>
    <w:rsid w:val="005C0E40"/>
    <w:rsid w:val="005C141F"/>
    <w:rsid w:val="005C16CF"/>
    <w:rsid w:val="005C2503"/>
    <w:rsid w:val="005C29B8"/>
    <w:rsid w:val="005C308F"/>
    <w:rsid w:val="005C30A2"/>
    <w:rsid w:val="005C3434"/>
    <w:rsid w:val="005C3DE7"/>
    <w:rsid w:val="005C3E3A"/>
    <w:rsid w:val="005C41E2"/>
    <w:rsid w:val="005C5438"/>
    <w:rsid w:val="005C5F21"/>
    <w:rsid w:val="005C69CD"/>
    <w:rsid w:val="005C6A40"/>
    <w:rsid w:val="005C7156"/>
    <w:rsid w:val="005D05DA"/>
    <w:rsid w:val="005D0C75"/>
    <w:rsid w:val="005D1E63"/>
    <w:rsid w:val="005D355E"/>
    <w:rsid w:val="005D4171"/>
    <w:rsid w:val="005D4229"/>
    <w:rsid w:val="005D464A"/>
    <w:rsid w:val="005D4D74"/>
    <w:rsid w:val="005D4D7E"/>
    <w:rsid w:val="005D62F6"/>
    <w:rsid w:val="005D6A95"/>
    <w:rsid w:val="005D6B2C"/>
    <w:rsid w:val="005D6D9C"/>
    <w:rsid w:val="005E0B54"/>
    <w:rsid w:val="005E2335"/>
    <w:rsid w:val="005E2670"/>
    <w:rsid w:val="005E29A0"/>
    <w:rsid w:val="005E34CA"/>
    <w:rsid w:val="005E3AA5"/>
    <w:rsid w:val="005E3C0A"/>
    <w:rsid w:val="005E3C18"/>
    <w:rsid w:val="005E4C0F"/>
    <w:rsid w:val="005E59B8"/>
    <w:rsid w:val="005E5A9C"/>
    <w:rsid w:val="005E6318"/>
    <w:rsid w:val="005E64B6"/>
    <w:rsid w:val="005E6812"/>
    <w:rsid w:val="005E74DE"/>
    <w:rsid w:val="005E77B0"/>
    <w:rsid w:val="005E7829"/>
    <w:rsid w:val="005E7881"/>
    <w:rsid w:val="005E78E0"/>
    <w:rsid w:val="005F0D9C"/>
    <w:rsid w:val="005F284E"/>
    <w:rsid w:val="005F2911"/>
    <w:rsid w:val="005F4467"/>
    <w:rsid w:val="005F4AAB"/>
    <w:rsid w:val="005F561C"/>
    <w:rsid w:val="005F56C7"/>
    <w:rsid w:val="005F5F5B"/>
    <w:rsid w:val="005F6A28"/>
    <w:rsid w:val="005F7763"/>
    <w:rsid w:val="005F7988"/>
    <w:rsid w:val="005F7BA6"/>
    <w:rsid w:val="00600AF7"/>
    <w:rsid w:val="006015CE"/>
    <w:rsid w:val="006019EE"/>
    <w:rsid w:val="00601BB6"/>
    <w:rsid w:val="0060281D"/>
    <w:rsid w:val="00602FDE"/>
    <w:rsid w:val="006039AB"/>
    <w:rsid w:val="00604784"/>
    <w:rsid w:val="0060491B"/>
    <w:rsid w:val="00605973"/>
    <w:rsid w:val="00606419"/>
    <w:rsid w:val="00606E75"/>
    <w:rsid w:val="00607B23"/>
    <w:rsid w:val="00607D29"/>
    <w:rsid w:val="00611DF3"/>
    <w:rsid w:val="00612081"/>
    <w:rsid w:val="00612673"/>
    <w:rsid w:val="00612952"/>
    <w:rsid w:val="00614CC1"/>
    <w:rsid w:val="006151F5"/>
    <w:rsid w:val="00615206"/>
    <w:rsid w:val="00615A9D"/>
    <w:rsid w:val="0061638A"/>
    <w:rsid w:val="006164FE"/>
    <w:rsid w:val="0061701E"/>
    <w:rsid w:val="00617387"/>
    <w:rsid w:val="00617929"/>
    <w:rsid w:val="00617FBD"/>
    <w:rsid w:val="006203A9"/>
    <w:rsid w:val="00620685"/>
    <w:rsid w:val="00620EE8"/>
    <w:rsid w:val="00621C61"/>
    <w:rsid w:val="00621DDC"/>
    <w:rsid w:val="00622155"/>
    <w:rsid w:val="00622E65"/>
    <w:rsid w:val="0062314A"/>
    <w:rsid w:val="00623385"/>
    <w:rsid w:val="0062377C"/>
    <w:rsid w:val="00623A06"/>
    <w:rsid w:val="0062449A"/>
    <w:rsid w:val="00625263"/>
    <w:rsid w:val="006252D8"/>
    <w:rsid w:val="006259BC"/>
    <w:rsid w:val="00625D0A"/>
    <w:rsid w:val="0062636B"/>
    <w:rsid w:val="006263D3"/>
    <w:rsid w:val="00626C8E"/>
    <w:rsid w:val="006270CB"/>
    <w:rsid w:val="0062742B"/>
    <w:rsid w:val="006309D7"/>
    <w:rsid w:val="00630FA3"/>
    <w:rsid w:val="00631743"/>
    <w:rsid w:val="00631C21"/>
    <w:rsid w:val="00632182"/>
    <w:rsid w:val="00632217"/>
    <w:rsid w:val="00632289"/>
    <w:rsid w:val="00632313"/>
    <w:rsid w:val="006323C2"/>
    <w:rsid w:val="006324DE"/>
    <w:rsid w:val="00632AE0"/>
    <w:rsid w:val="0063375E"/>
    <w:rsid w:val="00633C17"/>
    <w:rsid w:val="00635123"/>
    <w:rsid w:val="00636B45"/>
    <w:rsid w:val="00636E3E"/>
    <w:rsid w:val="00637136"/>
    <w:rsid w:val="006379F7"/>
    <w:rsid w:val="00637E4D"/>
    <w:rsid w:val="00640044"/>
    <w:rsid w:val="00640620"/>
    <w:rsid w:val="00640831"/>
    <w:rsid w:val="0064086C"/>
    <w:rsid w:val="00641A1F"/>
    <w:rsid w:val="00641E89"/>
    <w:rsid w:val="00643119"/>
    <w:rsid w:val="00643FF9"/>
    <w:rsid w:val="006440EB"/>
    <w:rsid w:val="00644BDA"/>
    <w:rsid w:val="00644ED6"/>
    <w:rsid w:val="0064517E"/>
    <w:rsid w:val="0064528D"/>
    <w:rsid w:val="00645904"/>
    <w:rsid w:val="0064781D"/>
    <w:rsid w:val="00650B6B"/>
    <w:rsid w:val="006510FA"/>
    <w:rsid w:val="0065111C"/>
    <w:rsid w:val="0065120B"/>
    <w:rsid w:val="006515A8"/>
    <w:rsid w:val="00651ACB"/>
    <w:rsid w:val="00651C47"/>
    <w:rsid w:val="00652AB2"/>
    <w:rsid w:val="00653F5B"/>
    <w:rsid w:val="00653F9B"/>
    <w:rsid w:val="006541DB"/>
    <w:rsid w:val="00654AD3"/>
    <w:rsid w:val="00654D3D"/>
    <w:rsid w:val="00654EC0"/>
    <w:rsid w:val="00654FEC"/>
    <w:rsid w:val="0065525B"/>
    <w:rsid w:val="00655D4F"/>
    <w:rsid w:val="00657B1E"/>
    <w:rsid w:val="00660273"/>
    <w:rsid w:val="00660A5A"/>
    <w:rsid w:val="006618A4"/>
    <w:rsid w:val="00662340"/>
    <w:rsid w:val="0066348A"/>
    <w:rsid w:val="00664040"/>
    <w:rsid w:val="006640E5"/>
    <w:rsid w:val="0066415D"/>
    <w:rsid w:val="006645E5"/>
    <w:rsid w:val="006646F1"/>
    <w:rsid w:val="00664929"/>
    <w:rsid w:val="00664D8D"/>
    <w:rsid w:val="00664E66"/>
    <w:rsid w:val="00664F62"/>
    <w:rsid w:val="0066532F"/>
    <w:rsid w:val="006655E1"/>
    <w:rsid w:val="00665D80"/>
    <w:rsid w:val="0066636C"/>
    <w:rsid w:val="00666946"/>
    <w:rsid w:val="00666B50"/>
    <w:rsid w:val="006707E5"/>
    <w:rsid w:val="00671877"/>
    <w:rsid w:val="00671C36"/>
    <w:rsid w:val="00672060"/>
    <w:rsid w:val="00672BFD"/>
    <w:rsid w:val="00672CC0"/>
    <w:rsid w:val="00675EBE"/>
    <w:rsid w:val="0067666A"/>
    <w:rsid w:val="00676B8B"/>
    <w:rsid w:val="006770F4"/>
    <w:rsid w:val="00677A84"/>
    <w:rsid w:val="0068026D"/>
    <w:rsid w:val="00680A27"/>
    <w:rsid w:val="00680A40"/>
    <w:rsid w:val="0068112F"/>
    <w:rsid w:val="006816A4"/>
    <w:rsid w:val="006817EE"/>
    <w:rsid w:val="00681829"/>
    <w:rsid w:val="006819B8"/>
    <w:rsid w:val="00681C5E"/>
    <w:rsid w:val="00681FD9"/>
    <w:rsid w:val="00682148"/>
    <w:rsid w:val="006832E4"/>
    <w:rsid w:val="006834D1"/>
    <w:rsid w:val="00683723"/>
    <w:rsid w:val="00683AAE"/>
    <w:rsid w:val="00683BBE"/>
    <w:rsid w:val="006840A6"/>
    <w:rsid w:val="006843F9"/>
    <w:rsid w:val="00684632"/>
    <w:rsid w:val="006850CD"/>
    <w:rsid w:val="00685AAB"/>
    <w:rsid w:val="00685C51"/>
    <w:rsid w:val="00686053"/>
    <w:rsid w:val="00686748"/>
    <w:rsid w:val="006876A0"/>
    <w:rsid w:val="00690E10"/>
    <w:rsid w:val="00690E4C"/>
    <w:rsid w:val="00691567"/>
    <w:rsid w:val="00691CEB"/>
    <w:rsid w:val="00691E9D"/>
    <w:rsid w:val="0069201C"/>
    <w:rsid w:val="0069217C"/>
    <w:rsid w:val="0069386C"/>
    <w:rsid w:val="00693A31"/>
    <w:rsid w:val="006958EE"/>
    <w:rsid w:val="00695C29"/>
    <w:rsid w:val="00695F71"/>
    <w:rsid w:val="0069648A"/>
    <w:rsid w:val="00697919"/>
    <w:rsid w:val="006A07AA"/>
    <w:rsid w:val="006A07FA"/>
    <w:rsid w:val="006A14D8"/>
    <w:rsid w:val="006A15A9"/>
    <w:rsid w:val="006A163A"/>
    <w:rsid w:val="006A1834"/>
    <w:rsid w:val="006A25E5"/>
    <w:rsid w:val="006A261B"/>
    <w:rsid w:val="006A2906"/>
    <w:rsid w:val="006A2B46"/>
    <w:rsid w:val="006A336D"/>
    <w:rsid w:val="006A37B9"/>
    <w:rsid w:val="006A37F2"/>
    <w:rsid w:val="006A3E76"/>
    <w:rsid w:val="006A40F2"/>
    <w:rsid w:val="006A49FB"/>
    <w:rsid w:val="006A575D"/>
    <w:rsid w:val="006A603C"/>
    <w:rsid w:val="006A6429"/>
    <w:rsid w:val="006A7EC8"/>
    <w:rsid w:val="006B1F8B"/>
    <w:rsid w:val="006B2672"/>
    <w:rsid w:val="006B4A38"/>
    <w:rsid w:val="006B4DD9"/>
    <w:rsid w:val="006B53EE"/>
    <w:rsid w:val="006B54BF"/>
    <w:rsid w:val="006B5846"/>
    <w:rsid w:val="006B5E85"/>
    <w:rsid w:val="006B5F44"/>
    <w:rsid w:val="006B5F90"/>
    <w:rsid w:val="006B60C6"/>
    <w:rsid w:val="006B62E4"/>
    <w:rsid w:val="006B6575"/>
    <w:rsid w:val="006B6A38"/>
    <w:rsid w:val="006B7562"/>
    <w:rsid w:val="006B79AB"/>
    <w:rsid w:val="006B7D8D"/>
    <w:rsid w:val="006C0B2D"/>
    <w:rsid w:val="006C184E"/>
    <w:rsid w:val="006C1BBA"/>
    <w:rsid w:val="006C2079"/>
    <w:rsid w:val="006C2230"/>
    <w:rsid w:val="006C26A2"/>
    <w:rsid w:val="006C2820"/>
    <w:rsid w:val="006C2C54"/>
    <w:rsid w:val="006C2E61"/>
    <w:rsid w:val="006C317D"/>
    <w:rsid w:val="006C4317"/>
    <w:rsid w:val="006C44C4"/>
    <w:rsid w:val="006C5192"/>
    <w:rsid w:val="006C56FE"/>
    <w:rsid w:val="006C57AD"/>
    <w:rsid w:val="006C5A62"/>
    <w:rsid w:val="006C5D68"/>
    <w:rsid w:val="006C60C0"/>
    <w:rsid w:val="006C6832"/>
    <w:rsid w:val="006C6976"/>
    <w:rsid w:val="006C6BE1"/>
    <w:rsid w:val="006C6C40"/>
    <w:rsid w:val="006C6C48"/>
    <w:rsid w:val="006C6DD0"/>
    <w:rsid w:val="006C7996"/>
    <w:rsid w:val="006D04EA"/>
    <w:rsid w:val="006D0D09"/>
    <w:rsid w:val="006D16C4"/>
    <w:rsid w:val="006D1D15"/>
    <w:rsid w:val="006D3977"/>
    <w:rsid w:val="006D3E96"/>
    <w:rsid w:val="006D4515"/>
    <w:rsid w:val="006D4908"/>
    <w:rsid w:val="006D4B19"/>
    <w:rsid w:val="006D4BB1"/>
    <w:rsid w:val="006D5E1A"/>
    <w:rsid w:val="006D6593"/>
    <w:rsid w:val="006D686E"/>
    <w:rsid w:val="006D68A2"/>
    <w:rsid w:val="006E0A85"/>
    <w:rsid w:val="006E18F1"/>
    <w:rsid w:val="006E1962"/>
    <w:rsid w:val="006E296E"/>
    <w:rsid w:val="006E38C5"/>
    <w:rsid w:val="006E491E"/>
    <w:rsid w:val="006E582B"/>
    <w:rsid w:val="006E6243"/>
    <w:rsid w:val="006E7798"/>
    <w:rsid w:val="006F03A8"/>
    <w:rsid w:val="006F0C21"/>
    <w:rsid w:val="006F0F7F"/>
    <w:rsid w:val="006F126A"/>
    <w:rsid w:val="006F126C"/>
    <w:rsid w:val="006F26E4"/>
    <w:rsid w:val="006F2ACA"/>
    <w:rsid w:val="006F2ADC"/>
    <w:rsid w:val="006F2BFE"/>
    <w:rsid w:val="006F31E9"/>
    <w:rsid w:val="006F36A1"/>
    <w:rsid w:val="006F41DF"/>
    <w:rsid w:val="006F4219"/>
    <w:rsid w:val="006F4B48"/>
    <w:rsid w:val="006F5277"/>
    <w:rsid w:val="006F56E5"/>
    <w:rsid w:val="006F6284"/>
    <w:rsid w:val="006F69EA"/>
    <w:rsid w:val="006F6A34"/>
    <w:rsid w:val="006F7500"/>
    <w:rsid w:val="006F779B"/>
    <w:rsid w:val="006F7891"/>
    <w:rsid w:val="006F7CB1"/>
    <w:rsid w:val="0070022B"/>
    <w:rsid w:val="007002C5"/>
    <w:rsid w:val="00700D35"/>
    <w:rsid w:val="00701870"/>
    <w:rsid w:val="00702DC5"/>
    <w:rsid w:val="0070348B"/>
    <w:rsid w:val="007034EF"/>
    <w:rsid w:val="00703835"/>
    <w:rsid w:val="00704387"/>
    <w:rsid w:val="00704439"/>
    <w:rsid w:val="0070514B"/>
    <w:rsid w:val="0070528B"/>
    <w:rsid w:val="00705A06"/>
    <w:rsid w:val="00705D0C"/>
    <w:rsid w:val="007063FB"/>
    <w:rsid w:val="00707521"/>
    <w:rsid w:val="00707669"/>
    <w:rsid w:val="007100B5"/>
    <w:rsid w:val="007106E5"/>
    <w:rsid w:val="0071081D"/>
    <w:rsid w:val="007113B1"/>
    <w:rsid w:val="00711B73"/>
    <w:rsid w:val="00711CBA"/>
    <w:rsid w:val="00711FB5"/>
    <w:rsid w:val="00712029"/>
    <w:rsid w:val="007129A4"/>
    <w:rsid w:val="00712A01"/>
    <w:rsid w:val="00713439"/>
    <w:rsid w:val="00713D9F"/>
    <w:rsid w:val="00714288"/>
    <w:rsid w:val="0071454C"/>
    <w:rsid w:val="00714B9A"/>
    <w:rsid w:val="00714F58"/>
    <w:rsid w:val="007152E9"/>
    <w:rsid w:val="0071534C"/>
    <w:rsid w:val="00716B0C"/>
    <w:rsid w:val="00716FA6"/>
    <w:rsid w:val="00717313"/>
    <w:rsid w:val="00721329"/>
    <w:rsid w:val="0072243C"/>
    <w:rsid w:val="00722772"/>
    <w:rsid w:val="00722FBF"/>
    <w:rsid w:val="00722FC2"/>
    <w:rsid w:val="0072342E"/>
    <w:rsid w:val="00724607"/>
    <w:rsid w:val="00725296"/>
    <w:rsid w:val="00725365"/>
    <w:rsid w:val="00725949"/>
    <w:rsid w:val="00726AE2"/>
    <w:rsid w:val="0072736E"/>
    <w:rsid w:val="00727FA2"/>
    <w:rsid w:val="007301EE"/>
    <w:rsid w:val="007302A5"/>
    <w:rsid w:val="0073064A"/>
    <w:rsid w:val="00731365"/>
    <w:rsid w:val="0073155A"/>
    <w:rsid w:val="00731F8C"/>
    <w:rsid w:val="007322D9"/>
    <w:rsid w:val="00732BC0"/>
    <w:rsid w:val="00732F4E"/>
    <w:rsid w:val="00733B54"/>
    <w:rsid w:val="007348BD"/>
    <w:rsid w:val="007350F4"/>
    <w:rsid w:val="00735BB2"/>
    <w:rsid w:val="0073639E"/>
    <w:rsid w:val="00736A73"/>
    <w:rsid w:val="00736AAB"/>
    <w:rsid w:val="00736CEE"/>
    <w:rsid w:val="0073720F"/>
    <w:rsid w:val="00737255"/>
    <w:rsid w:val="00737796"/>
    <w:rsid w:val="00740306"/>
    <w:rsid w:val="0074165C"/>
    <w:rsid w:val="00741B22"/>
    <w:rsid w:val="00741DE5"/>
    <w:rsid w:val="00742358"/>
    <w:rsid w:val="0074250F"/>
    <w:rsid w:val="0074284B"/>
    <w:rsid w:val="00742C35"/>
    <w:rsid w:val="00742CD8"/>
    <w:rsid w:val="00743115"/>
    <w:rsid w:val="007432CA"/>
    <w:rsid w:val="00743761"/>
    <w:rsid w:val="007439EB"/>
    <w:rsid w:val="00743CB4"/>
    <w:rsid w:val="00743F0A"/>
    <w:rsid w:val="007444E8"/>
    <w:rsid w:val="00744C62"/>
    <w:rsid w:val="0074548E"/>
    <w:rsid w:val="007456F6"/>
    <w:rsid w:val="00745773"/>
    <w:rsid w:val="00745CD9"/>
    <w:rsid w:val="00746800"/>
    <w:rsid w:val="007469BF"/>
    <w:rsid w:val="0074733F"/>
    <w:rsid w:val="00747CF0"/>
    <w:rsid w:val="00747EF2"/>
    <w:rsid w:val="00747F73"/>
    <w:rsid w:val="007501A8"/>
    <w:rsid w:val="007502CE"/>
    <w:rsid w:val="00750EE1"/>
    <w:rsid w:val="007515A6"/>
    <w:rsid w:val="00751912"/>
    <w:rsid w:val="00752146"/>
    <w:rsid w:val="00752B4D"/>
    <w:rsid w:val="00753B29"/>
    <w:rsid w:val="00754704"/>
    <w:rsid w:val="007553E8"/>
    <w:rsid w:val="00755402"/>
    <w:rsid w:val="00755C6A"/>
    <w:rsid w:val="00756629"/>
    <w:rsid w:val="00756B26"/>
    <w:rsid w:val="00756D91"/>
    <w:rsid w:val="00756EDF"/>
    <w:rsid w:val="00757431"/>
    <w:rsid w:val="00760468"/>
    <w:rsid w:val="00760580"/>
    <w:rsid w:val="00760B5F"/>
    <w:rsid w:val="00760E61"/>
    <w:rsid w:val="0076211E"/>
    <w:rsid w:val="0076333D"/>
    <w:rsid w:val="0076426B"/>
    <w:rsid w:val="00765748"/>
    <w:rsid w:val="00765822"/>
    <w:rsid w:val="00765C43"/>
    <w:rsid w:val="00765EFB"/>
    <w:rsid w:val="007671CA"/>
    <w:rsid w:val="0076744F"/>
    <w:rsid w:val="00767C61"/>
    <w:rsid w:val="00767F6F"/>
    <w:rsid w:val="0077008A"/>
    <w:rsid w:val="00770476"/>
    <w:rsid w:val="00770B37"/>
    <w:rsid w:val="007722FC"/>
    <w:rsid w:val="00773036"/>
    <w:rsid w:val="0077315B"/>
    <w:rsid w:val="00773C1F"/>
    <w:rsid w:val="0077411C"/>
    <w:rsid w:val="00774189"/>
    <w:rsid w:val="00774DA4"/>
    <w:rsid w:val="00775C92"/>
    <w:rsid w:val="00776599"/>
    <w:rsid w:val="007766C0"/>
    <w:rsid w:val="0077715F"/>
    <w:rsid w:val="007776B7"/>
    <w:rsid w:val="00777DAF"/>
    <w:rsid w:val="00780375"/>
    <w:rsid w:val="00780EC0"/>
    <w:rsid w:val="0078114B"/>
    <w:rsid w:val="00781DD2"/>
    <w:rsid w:val="00781E90"/>
    <w:rsid w:val="00781EA6"/>
    <w:rsid w:val="00783ECF"/>
    <w:rsid w:val="007840AE"/>
    <w:rsid w:val="0078413A"/>
    <w:rsid w:val="00784408"/>
    <w:rsid w:val="00784A7A"/>
    <w:rsid w:val="00785BA2"/>
    <w:rsid w:val="007860D6"/>
    <w:rsid w:val="0078675D"/>
    <w:rsid w:val="0078714F"/>
    <w:rsid w:val="00787CA3"/>
    <w:rsid w:val="0079002F"/>
    <w:rsid w:val="00790043"/>
    <w:rsid w:val="007901B7"/>
    <w:rsid w:val="0079085A"/>
    <w:rsid w:val="007910CF"/>
    <w:rsid w:val="0079207D"/>
    <w:rsid w:val="00793AC3"/>
    <w:rsid w:val="00793EC6"/>
    <w:rsid w:val="007949B9"/>
    <w:rsid w:val="00794C1E"/>
    <w:rsid w:val="0079525D"/>
    <w:rsid w:val="0079546F"/>
    <w:rsid w:val="00795531"/>
    <w:rsid w:val="007959E8"/>
    <w:rsid w:val="00795E9C"/>
    <w:rsid w:val="00796918"/>
    <w:rsid w:val="00796FD6"/>
    <w:rsid w:val="00797E47"/>
    <w:rsid w:val="007A0044"/>
    <w:rsid w:val="007A0521"/>
    <w:rsid w:val="007A1B57"/>
    <w:rsid w:val="007A1D19"/>
    <w:rsid w:val="007A1D5C"/>
    <w:rsid w:val="007A2E12"/>
    <w:rsid w:val="007A3475"/>
    <w:rsid w:val="007A41C8"/>
    <w:rsid w:val="007A43B8"/>
    <w:rsid w:val="007A4AD7"/>
    <w:rsid w:val="007A4C41"/>
    <w:rsid w:val="007A54CE"/>
    <w:rsid w:val="007A55CE"/>
    <w:rsid w:val="007A5EFD"/>
    <w:rsid w:val="007A607D"/>
    <w:rsid w:val="007A6343"/>
    <w:rsid w:val="007A6A09"/>
    <w:rsid w:val="007A6FD9"/>
    <w:rsid w:val="007A7D69"/>
    <w:rsid w:val="007A7FFA"/>
    <w:rsid w:val="007B04EB"/>
    <w:rsid w:val="007B0CDA"/>
    <w:rsid w:val="007B0D4F"/>
    <w:rsid w:val="007B10DE"/>
    <w:rsid w:val="007B14BE"/>
    <w:rsid w:val="007B257A"/>
    <w:rsid w:val="007B2904"/>
    <w:rsid w:val="007B2CD6"/>
    <w:rsid w:val="007B30C6"/>
    <w:rsid w:val="007B3AF7"/>
    <w:rsid w:val="007B4A82"/>
    <w:rsid w:val="007B4DF9"/>
    <w:rsid w:val="007B56B9"/>
    <w:rsid w:val="007B57CC"/>
    <w:rsid w:val="007B5A3D"/>
    <w:rsid w:val="007B5B95"/>
    <w:rsid w:val="007B5EFB"/>
    <w:rsid w:val="007B608E"/>
    <w:rsid w:val="007B68EA"/>
    <w:rsid w:val="007B7453"/>
    <w:rsid w:val="007B751D"/>
    <w:rsid w:val="007B7EEA"/>
    <w:rsid w:val="007C079E"/>
    <w:rsid w:val="007C1B0A"/>
    <w:rsid w:val="007C26FE"/>
    <w:rsid w:val="007C2D89"/>
    <w:rsid w:val="007C2DDF"/>
    <w:rsid w:val="007C2EAD"/>
    <w:rsid w:val="007C3B4A"/>
    <w:rsid w:val="007C4593"/>
    <w:rsid w:val="007C5309"/>
    <w:rsid w:val="007C5D2C"/>
    <w:rsid w:val="007C5DC4"/>
    <w:rsid w:val="007C6069"/>
    <w:rsid w:val="007C613D"/>
    <w:rsid w:val="007D0549"/>
    <w:rsid w:val="007D06C4"/>
    <w:rsid w:val="007D1107"/>
    <w:rsid w:val="007D1352"/>
    <w:rsid w:val="007D139E"/>
    <w:rsid w:val="007D1820"/>
    <w:rsid w:val="007D1D3B"/>
    <w:rsid w:val="007D2508"/>
    <w:rsid w:val="007D2EA3"/>
    <w:rsid w:val="007D3465"/>
    <w:rsid w:val="007D346A"/>
    <w:rsid w:val="007D3E76"/>
    <w:rsid w:val="007D4641"/>
    <w:rsid w:val="007D4814"/>
    <w:rsid w:val="007D6518"/>
    <w:rsid w:val="007D6A03"/>
    <w:rsid w:val="007D76BD"/>
    <w:rsid w:val="007D77D1"/>
    <w:rsid w:val="007D7991"/>
    <w:rsid w:val="007E099C"/>
    <w:rsid w:val="007E0BF1"/>
    <w:rsid w:val="007E0E2C"/>
    <w:rsid w:val="007E1A45"/>
    <w:rsid w:val="007E1D4E"/>
    <w:rsid w:val="007E258B"/>
    <w:rsid w:val="007E2F7A"/>
    <w:rsid w:val="007E35A4"/>
    <w:rsid w:val="007E4CE4"/>
    <w:rsid w:val="007E524A"/>
    <w:rsid w:val="007E5367"/>
    <w:rsid w:val="007E552E"/>
    <w:rsid w:val="007E600A"/>
    <w:rsid w:val="007E6012"/>
    <w:rsid w:val="007E6452"/>
    <w:rsid w:val="007E6FA5"/>
    <w:rsid w:val="007E7421"/>
    <w:rsid w:val="007E7824"/>
    <w:rsid w:val="007F0ED8"/>
    <w:rsid w:val="007F0F63"/>
    <w:rsid w:val="007F10AD"/>
    <w:rsid w:val="007F226D"/>
    <w:rsid w:val="007F2327"/>
    <w:rsid w:val="007F24AC"/>
    <w:rsid w:val="007F31F4"/>
    <w:rsid w:val="007F3748"/>
    <w:rsid w:val="007F3B4B"/>
    <w:rsid w:val="007F4573"/>
    <w:rsid w:val="007F45F5"/>
    <w:rsid w:val="007F4ACD"/>
    <w:rsid w:val="007F4BA4"/>
    <w:rsid w:val="007F4C0F"/>
    <w:rsid w:val="007F5181"/>
    <w:rsid w:val="007F547F"/>
    <w:rsid w:val="007F54CE"/>
    <w:rsid w:val="007F5A38"/>
    <w:rsid w:val="007F75CE"/>
    <w:rsid w:val="007F788A"/>
    <w:rsid w:val="007F7B81"/>
    <w:rsid w:val="007F7D57"/>
    <w:rsid w:val="00800DCD"/>
    <w:rsid w:val="0080122E"/>
    <w:rsid w:val="008013A4"/>
    <w:rsid w:val="00801B5B"/>
    <w:rsid w:val="00802427"/>
    <w:rsid w:val="008027CE"/>
    <w:rsid w:val="00802AD6"/>
    <w:rsid w:val="00802F42"/>
    <w:rsid w:val="00803038"/>
    <w:rsid w:val="0080386E"/>
    <w:rsid w:val="00804383"/>
    <w:rsid w:val="00804541"/>
    <w:rsid w:val="008045B1"/>
    <w:rsid w:val="00804BB7"/>
    <w:rsid w:val="008063A6"/>
    <w:rsid w:val="00807C8E"/>
    <w:rsid w:val="00810257"/>
    <w:rsid w:val="008104F5"/>
    <w:rsid w:val="00810C94"/>
    <w:rsid w:val="00811072"/>
    <w:rsid w:val="00811369"/>
    <w:rsid w:val="00811667"/>
    <w:rsid w:val="00811FF2"/>
    <w:rsid w:val="00813DF4"/>
    <w:rsid w:val="00814173"/>
    <w:rsid w:val="0081529D"/>
    <w:rsid w:val="00815419"/>
    <w:rsid w:val="008155B0"/>
    <w:rsid w:val="00815B43"/>
    <w:rsid w:val="008163C8"/>
    <w:rsid w:val="008164A1"/>
    <w:rsid w:val="00816D6E"/>
    <w:rsid w:val="00817325"/>
    <w:rsid w:val="008209E6"/>
    <w:rsid w:val="00821628"/>
    <w:rsid w:val="0082262A"/>
    <w:rsid w:val="00822F2E"/>
    <w:rsid w:val="00823303"/>
    <w:rsid w:val="008233B2"/>
    <w:rsid w:val="00823A9F"/>
    <w:rsid w:val="00823C85"/>
    <w:rsid w:val="008245C8"/>
    <w:rsid w:val="00824E65"/>
    <w:rsid w:val="00825138"/>
    <w:rsid w:val="00825310"/>
    <w:rsid w:val="008269DD"/>
    <w:rsid w:val="008276BA"/>
    <w:rsid w:val="0083022D"/>
    <w:rsid w:val="00830621"/>
    <w:rsid w:val="00831550"/>
    <w:rsid w:val="0083196B"/>
    <w:rsid w:val="008322BB"/>
    <w:rsid w:val="00832C51"/>
    <w:rsid w:val="0083348C"/>
    <w:rsid w:val="008335C6"/>
    <w:rsid w:val="00833613"/>
    <w:rsid w:val="00833FDA"/>
    <w:rsid w:val="00835160"/>
    <w:rsid w:val="00835FC0"/>
    <w:rsid w:val="008373D3"/>
    <w:rsid w:val="008374F1"/>
    <w:rsid w:val="00840080"/>
    <w:rsid w:val="00840437"/>
    <w:rsid w:val="00840617"/>
    <w:rsid w:val="0084089C"/>
    <w:rsid w:val="00841FB0"/>
    <w:rsid w:val="008423C5"/>
    <w:rsid w:val="00842A47"/>
    <w:rsid w:val="008438F1"/>
    <w:rsid w:val="00843C13"/>
    <w:rsid w:val="00843CCB"/>
    <w:rsid w:val="008452B8"/>
    <w:rsid w:val="008454F8"/>
    <w:rsid w:val="0084612A"/>
    <w:rsid w:val="00846AC8"/>
    <w:rsid w:val="00846B51"/>
    <w:rsid w:val="00846DFF"/>
    <w:rsid w:val="008471D7"/>
    <w:rsid w:val="00847B56"/>
    <w:rsid w:val="0085098B"/>
    <w:rsid w:val="0085155C"/>
    <w:rsid w:val="008516B3"/>
    <w:rsid w:val="00851738"/>
    <w:rsid w:val="0085173A"/>
    <w:rsid w:val="008517AF"/>
    <w:rsid w:val="008517CC"/>
    <w:rsid w:val="00852D26"/>
    <w:rsid w:val="00854343"/>
    <w:rsid w:val="00854D12"/>
    <w:rsid w:val="00855DE7"/>
    <w:rsid w:val="0085721F"/>
    <w:rsid w:val="008572D2"/>
    <w:rsid w:val="008573BC"/>
    <w:rsid w:val="00860297"/>
    <w:rsid w:val="008603CE"/>
    <w:rsid w:val="00860B90"/>
    <w:rsid w:val="00860E71"/>
    <w:rsid w:val="00860F31"/>
    <w:rsid w:val="0086154B"/>
    <w:rsid w:val="008616E1"/>
    <w:rsid w:val="00861C53"/>
    <w:rsid w:val="00861D6E"/>
    <w:rsid w:val="008620FC"/>
    <w:rsid w:val="0086214F"/>
    <w:rsid w:val="008625EF"/>
    <w:rsid w:val="00862621"/>
    <w:rsid w:val="008627A5"/>
    <w:rsid w:val="00862A0D"/>
    <w:rsid w:val="008638D4"/>
    <w:rsid w:val="00863C36"/>
    <w:rsid w:val="00863E05"/>
    <w:rsid w:val="00863EB2"/>
    <w:rsid w:val="0086431E"/>
    <w:rsid w:val="00864E11"/>
    <w:rsid w:val="00864EAF"/>
    <w:rsid w:val="00865ACA"/>
    <w:rsid w:val="00865D28"/>
    <w:rsid w:val="00865F85"/>
    <w:rsid w:val="00865FEB"/>
    <w:rsid w:val="00867C10"/>
    <w:rsid w:val="00870439"/>
    <w:rsid w:val="0087087E"/>
    <w:rsid w:val="00870DA1"/>
    <w:rsid w:val="00870E86"/>
    <w:rsid w:val="00870F05"/>
    <w:rsid w:val="00871BBD"/>
    <w:rsid w:val="008725A6"/>
    <w:rsid w:val="00872A49"/>
    <w:rsid w:val="00872FE0"/>
    <w:rsid w:val="00873FDF"/>
    <w:rsid w:val="00874BF9"/>
    <w:rsid w:val="00874CC5"/>
    <w:rsid w:val="0087570A"/>
    <w:rsid w:val="00875BAA"/>
    <w:rsid w:val="00876678"/>
    <w:rsid w:val="00877B52"/>
    <w:rsid w:val="008801AA"/>
    <w:rsid w:val="008812D4"/>
    <w:rsid w:val="0088291F"/>
    <w:rsid w:val="00883BAD"/>
    <w:rsid w:val="00883DDD"/>
    <w:rsid w:val="00883F93"/>
    <w:rsid w:val="0088479B"/>
    <w:rsid w:val="00884A53"/>
    <w:rsid w:val="00884DB3"/>
    <w:rsid w:val="00885940"/>
    <w:rsid w:val="00885A9D"/>
    <w:rsid w:val="008864F6"/>
    <w:rsid w:val="0089049D"/>
    <w:rsid w:val="00890644"/>
    <w:rsid w:val="008920C0"/>
    <w:rsid w:val="0089216E"/>
    <w:rsid w:val="008928C9"/>
    <w:rsid w:val="008938DC"/>
    <w:rsid w:val="00893FD1"/>
    <w:rsid w:val="00894304"/>
    <w:rsid w:val="00894836"/>
    <w:rsid w:val="00894A1C"/>
    <w:rsid w:val="00895172"/>
    <w:rsid w:val="008953BD"/>
    <w:rsid w:val="00895479"/>
    <w:rsid w:val="0089553F"/>
    <w:rsid w:val="0089563F"/>
    <w:rsid w:val="00895680"/>
    <w:rsid w:val="00896DFF"/>
    <w:rsid w:val="008972D2"/>
    <w:rsid w:val="00897428"/>
    <w:rsid w:val="0089762C"/>
    <w:rsid w:val="0089787D"/>
    <w:rsid w:val="008A1893"/>
    <w:rsid w:val="008A197D"/>
    <w:rsid w:val="008A1F29"/>
    <w:rsid w:val="008A2B6D"/>
    <w:rsid w:val="008A32BF"/>
    <w:rsid w:val="008A51BD"/>
    <w:rsid w:val="008A5533"/>
    <w:rsid w:val="008A5689"/>
    <w:rsid w:val="008A6544"/>
    <w:rsid w:val="008A6696"/>
    <w:rsid w:val="008A68B5"/>
    <w:rsid w:val="008A75A7"/>
    <w:rsid w:val="008A769A"/>
    <w:rsid w:val="008B02C0"/>
    <w:rsid w:val="008B0C0C"/>
    <w:rsid w:val="008B0C9C"/>
    <w:rsid w:val="008B0D47"/>
    <w:rsid w:val="008B166D"/>
    <w:rsid w:val="008B17CB"/>
    <w:rsid w:val="008B17F4"/>
    <w:rsid w:val="008B235B"/>
    <w:rsid w:val="008B2BA5"/>
    <w:rsid w:val="008B3615"/>
    <w:rsid w:val="008B3A18"/>
    <w:rsid w:val="008B4AC4"/>
    <w:rsid w:val="008B50C8"/>
    <w:rsid w:val="008B5281"/>
    <w:rsid w:val="008B5566"/>
    <w:rsid w:val="008B6277"/>
    <w:rsid w:val="008B7DE1"/>
    <w:rsid w:val="008B7E05"/>
    <w:rsid w:val="008C0957"/>
    <w:rsid w:val="008C115A"/>
    <w:rsid w:val="008C1797"/>
    <w:rsid w:val="008C1FA9"/>
    <w:rsid w:val="008C2149"/>
    <w:rsid w:val="008C219C"/>
    <w:rsid w:val="008C24D4"/>
    <w:rsid w:val="008C35C0"/>
    <w:rsid w:val="008C3808"/>
    <w:rsid w:val="008C38A2"/>
    <w:rsid w:val="008C3C0C"/>
    <w:rsid w:val="008C475E"/>
    <w:rsid w:val="008C4767"/>
    <w:rsid w:val="008C4B15"/>
    <w:rsid w:val="008C5D99"/>
    <w:rsid w:val="008C619A"/>
    <w:rsid w:val="008C6826"/>
    <w:rsid w:val="008C6A1F"/>
    <w:rsid w:val="008C7781"/>
    <w:rsid w:val="008C7A10"/>
    <w:rsid w:val="008C7EF0"/>
    <w:rsid w:val="008D00BD"/>
    <w:rsid w:val="008D081D"/>
    <w:rsid w:val="008D0CE8"/>
    <w:rsid w:val="008D12C0"/>
    <w:rsid w:val="008D13E6"/>
    <w:rsid w:val="008D1C5D"/>
    <w:rsid w:val="008D2D1D"/>
    <w:rsid w:val="008D2DAD"/>
    <w:rsid w:val="008D3B43"/>
    <w:rsid w:val="008D453D"/>
    <w:rsid w:val="008D4583"/>
    <w:rsid w:val="008D53AD"/>
    <w:rsid w:val="008D562B"/>
    <w:rsid w:val="008D5733"/>
    <w:rsid w:val="008D5B89"/>
    <w:rsid w:val="008D5E24"/>
    <w:rsid w:val="008D61E2"/>
    <w:rsid w:val="008D622B"/>
    <w:rsid w:val="008D666C"/>
    <w:rsid w:val="008D6E88"/>
    <w:rsid w:val="008D7B54"/>
    <w:rsid w:val="008D7EA9"/>
    <w:rsid w:val="008E0C4B"/>
    <w:rsid w:val="008E0C9D"/>
    <w:rsid w:val="008E1648"/>
    <w:rsid w:val="008E1B3E"/>
    <w:rsid w:val="008E2319"/>
    <w:rsid w:val="008E275D"/>
    <w:rsid w:val="008E31D5"/>
    <w:rsid w:val="008E3330"/>
    <w:rsid w:val="008E3E9F"/>
    <w:rsid w:val="008E4BB6"/>
    <w:rsid w:val="008E5518"/>
    <w:rsid w:val="008E60A2"/>
    <w:rsid w:val="008E6143"/>
    <w:rsid w:val="008E6A84"/>
    <w:rsid w:val="008E74F4"/>
    <w:rsid w:val="008E7D68"/>
    <w:rsid w:val="008F09F6"/>
    <w:rsid w:val="008F0CDC"/>
    <w:rsid w:val="008F11C8"/>
    <w:rsid w:val="008F11F6"/>
    <w:rsid w:val="008F17A3"/>
    <w:rsid w:val="008F1ED3"/>
    <w:rsid w:val="008F2442"/>
    <w:rsid w:val="008F3489"/>
    <w:rsid w:val="008F34BA"/>
    <w:rsid w:val="008F38B8"/>
    <w:rsid w:val="008F391B"/>
    <w:rsid w:val="008F4174"/>
    <w:rsid w:val="008F4331"/>
    <w:rsid w:val="008F4C29"/>
    <w:rsid w:val="008F6CA0"/>
    <w:rsid w:val="008F6EDD"/>
    <w:rsid w:val="008F70BD"/>
    <w:rsid w:val="008F788F"/>
    <w:rsid w:val="008F7EA2"/>
    <w:rsid w:val="0090066E"/>
    <w:rsid w:val="00901204"/>
    <w:rsid w:val="009012A0"/>
    <w:rsid w:val="00901C75"/>
    <w:rsid w:val="00901D10"/>
    <w:rsid w:val="00902722"/>
    <w:rsid w:val="009027BC"/>
    <w:rsid w:val="009031EA"/>
    <w:rsid w:val="009039F7"/>
    <w:rsid w:val="00904C0E"/>
    <w:rsid w:val="00905E84"/>
    <w:rsid w:val="009062E6"/>
    <w:rsid w:val="00906655"/>
    <w:rsid w:val="0090677B"/>
    <w:rsid w:val="00906E96"/>
    <w:rsid w:val="00907074"/>
    <w:rsid w:val="009072E0"/>
    <w:rsid w:val="00907587"/>
    <w:rsid w:val="00910380"/>
    <w:rsid w:val="00911660"/>
    <w:rsid w:val="0091188A"/>
    <w:rsid w:val="00911BE5"/>
    <w:rsid w:val="00913214"/>
    <w:rsid w:val="00913BE6"/>
    <w:rsid w:val="00913CA9"/>
    <w:rsid w:val="009140E3"/>
    <w:rsid w:val="009145AE"/>
    <w:rsid w:val="009146CE"/>
    <w:rsid w:val="00914CA7"/>
    <w:rsid w:val="00914D8E"/>
    <w:rsid w:val="00914F31"/>
    <w:rsid w:val="009156DF"/>
    <w:rsid w:val="00915A8F"/>
    <w:rsid w:val="00915C3E"/>
    <w:rsid w:val="00916056"/>
    <w:rsid w:val="009161A8"/>
    <w:rsid w:val="009164F8"/>
    <w:rsid w:val="009169FD"/>
    <w:rsid w:val="00916D9C"/>
    <w:rsid w:val="009171E1"/>
    <w:rsid w:val="009173E1"/>
    <w:rsid w:val="00917AC3"/>
    <w:rsid w:val="00917B42"/>
    <w:rsid w:val="00917B8D"/>
    <w:rsid w:val="00917E73"/>
    <w:rsid w:val="00920AA8"/>
    <w:rsid w:val="00921D81"/>
    <w:rsid w:val="00922B42"/>
    <w:rsid w:val="00923123"/>
    <w:rsid w:val="0092371D"/>
    <w:rsid w:val="00923A63"/>
    <w:rsid w:val="00923D56"/>
    <w:rsid w:val="009241AE"/>
    <w:rsid w:val="0092443A"/>
    <w:rsid w:val="009245F5"/>
    <w:rsid w:val="0092469C"/>
    <w:rsid w:val="009249EC"/>
    <w:rsid w:val="0092582C"/>
    <w:rsid w:val="009273B3"/>
    <w:rsid w:val="00927530"/>
    <w:rsid w:val="0092774F"/>
    <w:rsid w:val="00927938"/>
    <w:rsid w:val="00927C08"/>
    <w:rsid w:val="009305B5"/>
    <w:rsid w:val="00930AFA"/>
    <w:rsid w:val="0093159D"/>
    <w:rsid w:val="00932D25"/>
    <w:rsid w:val="009331FB"/>
    <w:rsid w:val="0093408D"/>
    <w:rsid w:val="00934746"/>
    <w:rsid w:val="00936444"/>
    <w:rsid w:val="00936E0B"/>
    <w:rsid w:val="00937218"/>
    <w:rsid w:val="00937473"/>
    <w:rsid w:val="0093788A"/>
    <w:rsid w:val="00937D49"/>
    <w:rsid w:val="0094056C"/>
    <w:rsid w:val="00940E7D"/>
    <w:rsid w:val="00941374"/>
    <w:rsid w:val="00941BB3"/>
    <w:rsid w:val="00942478"/>
    <w:rsid w:val="00942743"/>
    <w:rsid w:val="009429D5"/>
    <w:rsid w:val="00942BF1"/>
    <w:rsid w:val="00943994"/>
    <w:rsid w:val="009447F7"/>
    <w:rsid w:val="00944E85"/>
    <w:rsid w:val="00945180"/>
    <w:rsid w:val="00945428"/>
    <w:rsid w:val="00945617"/>
    <w:rsid w:val="009458C1"/>
    <w:rsid w:val="0094607B"/>
    <w:rsid w:val="00946740"/>
    <w:rsid w:val="00947B17"/>
    <w:rsid w:val="009502D5"/>
    <w:rsid w:val="00950ABC"/>
    <w:rsid w:val="009514BF"/>
    <w:rsid w:val="00952C89"/>
    <w:rsid w:val="0095329E"/>
    <w:rsid w:val="00953343"/>
    <w:rsid w:val="00953604"/>
    <w:rsid w:val="0095496B"/>
    <w:rsid w:val="00954E5D"/>
    <w:rsid w:val="00955358"/>
    <w:rsid w:val="009556BE"/>
    <w:rsid w:val="00955E07"/>
    <w:rsid w:val="00956567"/>
    <w:rsid w:val="00957DE6"/>
    <w:rsid w:val="00957F43"/>
    <w:rsid w:val="00960087"/>
    <w:rsid w:val="00960A4C"/>
    <w:rsid w:val="009610DC"/>
    <w:rsid w:val="009612CD"/>
    <w:rsid w:val="00961490"/>
    <w:rsid w:val="00961BD1"/>
    <w:rsid w:val="00961DC2"/>
    <w:rsid w:val="0096363C"/>
    <w:rsid w:val="0096381A"/>
    <w:rsid w:val="00963B4D"/>
    <w:rsid w:val="00964D9E"/>
    <w:rsid w:val="00964DA8"/>
    <w:rsid w:val="00964E4D"/>
    <w:rsid w:val="00965500"/>
    <w:rsid w:val="00965A1F"/>
    <w:rsid w:val="00965E04"/>
    <w:rsid w:val="009674AD"/>
    <w:rsid w:val="009709FE"/>
    <w:rsid w:val="00970CDC"/>
    <w:rsid w:val="00971B86"/>
    <w:rsid w:val="009725E8"/>
    <w:rsid w:val="00974944"/>
    <w:rsid w:val="00974EDB"/>
    <w:rsid w:val="009761AE"/>
    <w:rsid w:val="00976880"/>
    <w:rsid w:val="00977010"/>
    <w:rsid w:val="00977D02"/>
    <w:rsid w:val="009809BB"/>
    <w:rsid w:val="0098128E"/>
    <w:rsid w:val="0098224C"/>
    <w:rsid w:val="0098275A"/>
    <w:rsid w:val="00982FF3"/>
    <w:rsid w:val="0098364B"/>
    <w:rsid w:val="00983CDB"/>
    <w:rsid w:val="00983FEC"/>
    <w:rsid w:val="0098417E"/>
    <w:rsid w:val="00985376"/>
    <w:rsid w:val="00986AA2"/>
    <w:rsid w:val="00987036"/>
    <w:rsid w:val="00990494"/>
    <w:rsid w:val="00991044"/>
    <w:rsid w:val="009911AF"/>
    <w:rsid w:val="009915A0"/>
    <w:rsid w:val="00991738"/>
    <w:rsid w:val="00991875"/>
    <w:rsid w:val="00991B4A"/>
    <w:rsid w:val="00991F92"/>
    <w:rsid w:val="009920A4"/>
    <w:rsid w:val="009925B3"/>
    <w:rsid w:val="009928EC"/>
    <w:rsid w:val="00992985"/>
    <w:rsid w:val="00993889"/>
    <w:rsid w:val="00993989"/>
    <w:rsid w:val="00993B83"/>
    <w:rsid w:val="0099423B"/>
    <w:rsid w:val="00994610"/>
    <w:rsid w:val="00994782"/>
    <w:rsid w:val="0099551B"/>
    <w:rsid w:val="00995745"/>
    <w:rsid w:val="00995EA1"/>
    <w:rsid w:val="00995EF3"/>
    <w:rsid w:val="009965A5"/>
    <w:rsid w:val="00997346"/>
    <w:rsid w:val="00997488"/>
    <w:rsid w:val="00997BF1"/>
    <w:rsid w:val="00997C0B"/>
    <w:rsid w:val="009A02BC"/>
    <w:rsid w:val="009A04B3"/>
    <w:rsid w:val="009A089C"/>
    <w:rsid w:val="009A118E"/>
    <w:rsid w:val="009A1B38"/>
    <w:rsid w:val="009A1F66"/>
    <w:rsid w:val="009A21CD"/>
    <w:rsid w:val="009A278C"/>
    <w:rsid w:val="009A2BC2"/>
    <w:rsid w:val="009A3C97"/>
    <w:rsid w:val="009A42C1"/>
    <w:rsid w:val="009A4E59"/>
    <w:rsid w:val="009A5429"/>
    <w:rsid w:val="009A5435"/>
    <w:rsid w:val="009A58C0"/>
    <w:rsid w:val="009A5BAF"/>
    <w:rsid w:val="009A5BCB"/>
    <w:rsid w:val="009A72AD"/>
    <w:rsid w:val="009A78A0"/>
    <w:rsid w:val="009B09E0"/>
    <w:rsid w:val="009B0BC5"/>
    <w:rsid w:val="009B1247"/>
    <w:rsid w:val="009B2B46"/>
    <w:rsid w:val="009B2D3E"/>
    <w:rsid w:val="009B3F60"/>
    <w:rsid w:val="009B46D3"/>
    <w:rsid w:val="009B4E91"/>
    <w:rsid w:val="009B54BB"/>
    <w:rsid w:val="009B5883"/>
    <w:rsid w:val="009B5EFD"/>
    <w:rsid w:val="009B6029"/>
    <w:rsid w:val="009B60AD"/>
    <w:rsid w:val="009B6464"/>
    <w:rsid w:val="009B6971"/>
    <w:rsid w:val="009B6ECB"/>
    <w:rsid w:val="009C012C"/>
    <w:rsid w:val="009C1477"/>
    <w:rsid w:val="009C14D6"/>
    <w:rsid w:val="009C21C8"/>
    <w:rsid w:val="009C27F1"/>
    <w:rsid w:val="009C3152"/>
    <w:rsid w:val="009C41EC"/>
    <w:rsid w:val="009C4CFA"/>
    <w:rsid w:val="009C5070"/>
    <w:rsid w:val="009C644E"/>
    <w:rsid w:val="009C7213"/>
    <w:rsid w:val="009C7381"/>
    <w:rsid w:val="009C7D81"/>
    <w:rsid w:val="009D017C"/>
    <w:rsid w:val="009D032C"/>
    <w:rsid w:val="009D0372"/>
    <w:rsid w:val="009D05E9"/>
    <w:rsid w:val="009D09B4"/>
    <w:rsid w:val="009D0D96"/>
    <w:rsid w:val="009D112C"/>
    <w:rsid w:val="009D19FD"/>
    <w:rsid w:val="009D3D18"/>
    <w:rsid w:val="009D47FA"/>
    <w:rsid w:val="009D50D2"/>
    <w:rsid w:val="009D5D7D"/>
    <w:rsid w:val="009D6BCA"/>
    <w:rsid w:val="009D6E2C"/>
    <w:rsid w:val="009D72B9"/>
    <w:rsid w:val="009D7FEF"/>
    <w:rsid w:val="009E0703"/>
    <w:rsid w:val="009E0BFF"/>
    <w:rsid w:val="009E0F62"/>
    <w:rsid w:val="009E106B"/>
    <w:rsid w:val="009E1848"/>
    <w:rsid w:val="009E25E1"/>
    <w:rsid w:val="009E2708"/>
    <w:rsid w:val="009E2741"/>
    <w:rsid w:val="009E3A8F"/>
    <w:rsid w:val="009E4A04"/>
    <w:rsid w:val="009E4A58"/>
    <w:rsid w:val="009E4C41"/>
    <w:rsid w:val="009E5242"/>
    <w:rsid w:val="009E5273"/>
    <w:rsid w:val="009E5A2D"/>
    <w:rsid w:val="009E5AB2"/>
    <w:rsid w:val="009E5BE4"/>
    <w:rsid w:val="009E6127"/>
    <w:rsid w:val="009E6219"/>
    <w:rsid w:val="009E76CE"/>
    <w:rsid w:val="009F025A"/>
    <w:rsid w:val="009F03B3"/>
    <w:rsid w:val="009F1E54"/>
    <w:rsid w:val="009F2878"/>
    <w:rsid w:val="009F3B40"/>
    <w:rsid w:val="009F62D1"/>
    <w:rsid w:val="009F75CD"/>
    <w:rsid w:val="009F7FB9"/>
    <w:rsid w:val="00A004F7"/>
    <w:rsid w:val="00A00AC7"/>
    <w:rsid w:val="00A01757"/>
    <w:rsid w:val="00A01C66"/>
    <w:rsid w:val="00A01DBF"/>
    <w:rsid w:val="00A01F27"/>
    <w:rsid w:val="00A028C0"/>
    <w:rsid w:val="00A02BAE"/>
    <w:rsid w:val="00A0315E"/>
    <w:rsid w:val="00A032CF"/>
    <w:rsid w:val="00A0431B"/>
    <w:rsid w:val="00A04340"/>
    <w:rsid w:val="00A044D1"/>
    <w:rsid w:val="00A047DB"/>
    <w:rsid w:val="00A04CDD"/>
    <w:rsid w:val="00A05263"/>
    <w:rsid w:val="00A05AA6"/>
    <w:rsid w:val="00A062B6"/>
    <w:rsid w:val="00A06904"/>
    <w:rsid w:val="00A06A6B"/>
    <w:rsid w:val="00A07A22"/>
    <w:rsid w:val="00A07ABD"/>
    <w:rsid w:val="00A07E47"/>
    <w:rsid w:val="00A11026"/>
    <w:rsid w:val="00A115C0"/>
    <w:rsid w:val="00A117D5"/>
    <w:rsid w:val="00A11FF5"/>
    <w:rsid w:val="00A1251B"/>
    <w:rsid w:val="00A129D0"/>
    <w:rsid w:val="00A12C33"/>
    <w:rsid w:val="00A13325"/>
    <w:rsid w:val="00A138BA"/>
    <w:rsid w:val="00A14C8E"/>
    <w:rsid w:val="00A14F0C"/>
    <w:rsid w:val="00A153D9"/>
    <w:rsid w:val="00A15B0A"/>
    <w:rsid w:val="00A15DA2"/>
    <w:rsid w:val="00A15F09"/>
    <w:rsid w:val="00A169B6"/>
    <w:rsid w:val="00A16EBB"/>
    <w:rsid w:val="00A17008"/>
    <w:rsid w:val="00A173FD"/>
    <w:rsid w:val="00A1793E"/>
    <w:rsid w:val="00A17A21"/>
    <w:rsid w:val="00A17FF0"/>
    <w:rsid w:val="00A2025E"/>
    <w:rsid w:val="00A2064A"/>
    <w:rsid w:val="00A20A92"/>
    <w:rsid w:val="00A2271D"/>
    <w:rsid w:val="00A237D5"/>
    <w:rsid w:val="00A23D45"/>
    <w:rsid w:val="00A25032"/>
    <w:rsid w:val="00A25F33"/>
    <w:rsid w:val="00A302D9"/>
    <w:rsid w:val="00A30351"/>
    <w:rsid w:val="00A30B24"/>
    <w:rsid w:val="00A30EFC"/>
    <w:rsid w:val="00A313A5"/>
    <w:rsid w:val="00A31984"/>
    <w:rsid w:val="00A327D2"/>
    <w:rsid w:val="00A32D57"/>
    <w:rsid w:val="00A32D73"/>
    <w:rsid w:val="00A3367B"/>
    <w:rsid w:val="00A33A12"/>
    <w:rsid w:val="00A340F5"/>
    <w:rsid w:val="00A342E8"/>
    <w:rsid w:val="00A34319"/>
    <w:rsid w:val="00A3593B"/>
    <w:rsid w:val="00A3597D"/>
    <w:rsid w:val="00A36208"/>
    <w:rsid w:val="00A362AF"/>
    <w:rsid w:val="00A36B92"/>
    <w:rsid w:val="00A376FD"/>
    <w:rsid w:val="00A4006C"/>
    <w:rsid w:val="00A40091"/>
    <w:rsid w:val="00A4030F"/>
    <w:rsid w:val="00A40821"/>
    <w:rsid w:val="00A40878"/>
    <w:rsid w:val="00A40CEF"/>
    <w:rsid w:val="00A40D6C"/>
    <w:rsid w:val="00A41C79"/>
    <w:rsid w:val="00A41CB5"/>
    <w:rsid w:val="00A421BE"/>
    <w:rsid w:val="00A42241"/>
    <w:rsid w:val="00A42CDF"/>
    <w:rsid w:val="00A4307B"/>
    <w:rsid w:val="00A43452"/>
    <w:rsid w:val="00A43786"/>
    <w:rsid w:val="00A438DD"/>
    <w:rsid w:val="00A43B9B"/>
    <w:rsid w:val="00A43E57"/>
    <w:rsid w:val="00A4452E"/>
    <w:rsid w:val="00A4472C"/>
    <w:rsid w:val="00A44E69"/>
    <w:rsid w:val="00A45509"/>
    <w:rsid w:val="00A45B82"/>
    <w:rsid w:val="00A4661E"/>
    <w:rsid w:val="00A46901"/>
    <w:rsid w:val="00A50360"/>
    <w:rsid w:val="00A50CE1"/>
    <w:rsid w:val="00A51607"/>
    <w:rsid w:val="00A51AA3"/>
    <w:rsid w:val="00A51BB6"/>
    <w:rsid w:val="00A51C83"/>
    <w:rsid w:val="00A52EC7"/>
    <w:rsid w:val="00A539A1"/>
    <w:rsid w:val="00A550F9"/>
    <w:rsid w:val="00A55BD6"/>
    <w:rsid w:val="00A55D50"/>
    <w:rsid w:val="00A55DD7"/>
    <w:rsid w:val="00A55F3A"/>
    <w:rsid w:val="00A56F05"/>
    <w:rsid w:val="00A57142"/>
    <w:rsid w:val="00A578FC"/>
    <w:rsid w:val="00A61301"/>
    <w:rsid w:val="00A61D48"/>
    <w:rsid w:val="00A61FC8"/>
    <w:rsid w:val="00A6282F"/>
    <w:rsid w:val="00A629AE"/>
    <w:rsid w:val="00A64014"/>
    <w:rsid w:val="00A648CD"/>
    <w:rsid w:val="00A6537A"/>
    <w:rsid w:val="00A66565"/>
    <w:rsid w:val="00A667B1"/>
    <w:rsid w:val="00A677A9"/>
    <w:rsid w:val="00A67866"/>
    <w:rsid w:val="00A70B07"/>
    <w:rsid w:val="00A70B1A"/>
    <w:rsid w:val="00A71CA9"/>
    <w:rsid w:val="00A723F8"/>
    <w:rsid w:val="00A72B7A"/>
    <w:rsid w:val="00A73091"/>
    <w:rsid w:val="00A73923"/>
    <w:rsid w:val="00A73C9E"/>
    <w:rsid w:val="00A75145"/>
    <w:rsid w:val="00A7549F"/>
    <w:rsid w:val="00A75580"/>
    <w:rsid w:val="00A75907"/>
    <w:rsid w:val="00A75D3A"/>
    <w:rsid w:val="00A76741"/>
    <w:rsid w:val="00A76771"/>
    <w:rsid w:val="00A767D2"/>
    <w:rsid w:val="00A77073"/>
    <w:rsid w:val="00A7733D"/>
    <w:rsid w:val="00A77B44"/>
    <w:rsid w:val="00A77CCB"/>
    <w:rsid w:val="00A80446"/>
    <w:rsid w:val="00A80947"/>
    <w:rsid w:val="00A818A9"/>
    <w:rsid w:val="00A818AD"/>
    <w:rsid w:val="00A825FB"/>
    <w:rsid w:val="00A8366B"/>
    <w:rsid w:val="00A8380C"/>
    <w:rsid w:val="00A83D8D"/>
    <w:rsid w:val="00A8446B"/>
    <w:rsid w:val="00A8454E"/>
    <w:rsid w:val="00A8473F"/>
    <w:rsid w:val="00A85C8F"/>
    <w:rsid w:val="00A85F4A"/>
    <w:rsid w:val="00A862D6"/>
    <w:rsid w:val="00A865EC"/>
    <w:rsid w:val="00A86777"/>
    <w:rsid w:val="00A869D8"/>
    <w:rsid w:val="00A86F34"/>
    <w:rsid w:val="00A870E5"/>
    <w:rsid w:val="00A8715E"/>
    <w:rsid w:val="00A87647"/>
    <w:rsid w:val="00A900D2"/>
    <w:rsid w:val="00A90791"/>
    <w:rsid w:val="00A90999"/>
    <w:rsid w:val="00A910BE"/>
    <w:rsid w:val="00A92004"/>
    <w:rsid w:val="00A924E2"/>
    <w:rsid w:val="00A92874"/>
    <w:rsid w:val="00A9295B"/>
    <w:rsid w:val="00A93171"/>
    <w:rsid w:val="00A93692"/>
    <w:rsid w:val="00A93B09"/>
    <w:rsid w:val="00A9440D"/>
    <w:rsid w:val="00A9467A"/>
    <w:rsid w:val="00A952D7"/>
    <w:rsid w:val="00A958C3"/>
    <w:rsid w:val="00A95C08"/>
    <w:rsid w:val="00A95CAC"/>
    <w:rsid w:val="00A96026"/>
    <w:rsid w:val="00A963F7"/>
    <w:rsid w:val="00A96AD8"/>
    <w:rsid w:val="00A9732B"/>
    <w:rsid w:val="00A97409"/>
    <w:rsid w:val="00A97615"/>
    <w:rsid w:val="00AA029E"/>
    <w:rsid w:val="00AA052C"/>
    <w:rsid w:val="00AA0FCC"/>
    <w:rsid w:val="00AA1318"/>
    <w:rsid w:val="00AA14A3"/>
    <w:rsid w:val="00AA1E45"/>
    <w:rsid w:val="00AA20F5"/>
    <w:rsid w:val="00AA2BA2"/>
    <w:rsid w:val="00AA30E6"/>
    <w:rsid w:val="00AA3BD8"/>
    <w:rsid w:val="00AA3F61"/>
    <w:rsid w:val="00AA4286"/>
    <w:rsid w:val="00AA456B"/>
    <w:rsid w:val="00AA5224"/>
    <w:rsid w:val="00AA52F0"/>
    <w:rsid w:val="00AA5799"/>
    <w:rsid w:val="00AA57F5"/>
    <w:rsid w:val="00AA5C66"/>
    <w:rsid w:val="00AA5C81"/>
    <w:rsid w:val="00AA672E"/>
    <w:rsid w:val="00AA6EC9"/>
    <w:rsid w:val="00AB0200"/>
    <w:rsid w:val="00AB0B6E"/>
    <w:rsid w:val="00AB0DC0"/>
    <w:rsid w:val="00AB26AB"/>
    <w:rsid w:val="00AB3646"/>
    <w:rsid w:val="00AB3AEB"/>
    <w:rsid w:val="00AB42D6"/>
    <w:rsid w:val="00AB5437"/>
    <w:rsid w:val="00AB5A3D"/>
    <w:rsid w:val="00AB5CD2"/>
    <w:rsid w:val="00AB5FD4"/>
    <w:rsid w:val="00AB6309"/>
    <w:rsid w:val="00AB68C3"/>
    <w:rsid w:val="00AB68D5"/>
    <w:rsid w:val="00AB6C18"/>
    <w:rsid w:val="00AB6C5F"/>
    <w:rsid w:val="00AB700F"/>
    <w:rsid w:val="00AB7129"/>
    <w:rsid w:val="00AB7204"/>
    <w:rsid w:val="00AB72AD"/>
    <w:rsid w:val="00AC0E6B"/>
    <w:rsid w:val="00AC131D"/>
    <w:rsid w:val="00AC15C2"/>
    <w:rsid w:val="00AC27A6"/>
    <w:rsid w:val="00AC29B6"/>
    <w:rsid w:val="00AC30F7"/>
    <w:rsid w:val="00AC386E"/>
    <w:rsid w:val="00AC3A5A"/>
    <w:rsid w:val="00AC46B6"/>
    <w:rsid w:val="00AC4B0B"/>
    <w:rsid w:val="00AC4D95"/>
    <w:rsid w:val="00AC4F93"/>
    <w:rsid w:val="00AC5DF4"/>
    <w:rsid w:val="00AC63B4"/>
    <w:rsid w:val="00AC75EB"/>
    <w:rsid w:val="00AC7E51"/>
    <w:rsid w:val="00AC7EB0"/>
    <w:rsid w:val="00AD03A6"/>
    <w:rsid w:val="00AD0AE1"/>
    <w:rsid w:val="00AD0AEF"/>
    <w:rsid w:val="00AD0B65"/>
    <w:rsid w:val="00AD0D62"/>
    <w:rsid w:val="00AD105D"/>
    <w:rsid w:val="00AD11B7"/>
    <w:rsid w:val="00AD1838"/>
    <w:rsid w:val="00AD1A94"/>
    <w:rsid w:val="00AD1C05"/>
    <w:rsid w:val="00AD210A"/>
    <w:rsid w:val="00AD2D3A"/>
    <w:rsid w:val="00AD3BF4"/>
    <w:rsid w:val="00AD4126"/>
    <w:rsid w:val="00AD421C"/>
    <w:rsid w:val="00AD44FA"/>
    <w:rsid w:val="00AD454B"/>
    <w:rsid w:val="00AD476A"/>
    <w:rsid w:val="00AD481E"/>
    <w:rsid w:val="00AD5D89"/>
    <w:rsid w:val="00AD5D9F"/>
    <w:rsid w:val="00AD5DD7"/>
    <w:rsid w:val="00AD6FB4"/>
    <w:rsid w:val="00AD78C7"/>
    <w:rsid w:val="00AD78F3"/>
    <w:rsid w:val="00AD7A04"/>
    <w:rsid w:val="00AE070A"/>
    <w:rsid w:val="00AE096D"/>
    <w:rsid w:val="00AE0CA8"/>
    <w:rsid w:val="00AE101C"/>
    <w:rsid w:val="00AE232F"/>
    <w:rsid w:val="00AE280F"/>
    <w:rsid w:val="00AE2EDB"/>
    <w:rsid w:val="00AE3607"/>
    <w:rsid w:val="00AE3D6B"/>
    <w:rsid w:val="00AE44CC"/>
    <w:rsid w:val="00AE4AD0"/>
    <w:rsid w:val="00AE4E96"/>
    <w:rsid w:val="00AE5085"/>
    <w:rsid w:val="00AE50EE"/>
    <w:rsid w:val="00AE5654"/>
    <w:rsid w:val="00AE5EB4"/>
    <w:rsid w:val="00AE6536"/>
    <w:rsid w:val="00AE6DA7"/>
    <w:rsid w:val="00AE6E45"/>
    <w:rsid w:val="00AE79E9"/>
    <w:rsid w:val="00AF080E"/>
    <w:rsid w:val="00AF0C18"/>
    <w:rsid w:val="00AF11B7"/>
    <w:rsid w:val="00AF12BA"/>
    <w:rsid w:val="00AF2710"/>
    <w:rsid w:val="00AF2F42"/>
    <w:rsid w:val="00AF382D"/>
    <w:rsid w:val="00AF400B"/>
    <w:rsid w:val="00AF43B3"/>
    <w:rsid w:val="00AF46D4"/>
    <w:rsid w:val="00AF47C5"/>
    <w:rsid w:val="00AF5398"/>
    <w:rsid w:val="00AF5F75"/>
    <w:rsid w:val="00AF6BD1"/>
    <w:rsid w:val="00AF6BE1"/>
    <w:rsid w:val="00AF7076"/>
    <w:rsid w:val="00AF71CA"/>
    <w:rsid w:val="00B011A8"/>
    <w:rsid w:val="00B0189A"/>
    <w:rsid w:val="00B01C5F"/>
    <w:rsid w:val="00B02C55"/>
    <w:rsid w:val="00B03B6A"/>
    <w:rsid w:val="00B03EB7"/>
    <w:rsid w:val="00B049AF"/>
    <w:rsid w:val="00B04E01"/>
    <w:rsid w:val="00B0501D"/>
    <w:rsid w:val="00B0593C"/>
    <w:rsid w:val="00B06ECF"/>
    <w:rsid w:val="00B07242"/>
    <w:rsid w:val="00B07DD2"/>
    <w:rsid w:val="00B10534"/>
    <w:rsid w:val="00B113DB"/>
    <w:rsid w:val="00B11D8A"/>
    <w:rsid w:val="00B127B6"/>
    <w:rsid w:val="00B12981"/>
    <w:rsid w:val="00B136A5"/>
    <w:rsid w:val="00B146A7"/>
    <w:rsid w:val="00B147DD"/>
    <w:rsid w:val="00B14EBC"/>
    <w:rsid w:val="00B155DC"/>
    <w:rsid w:val="00B156FD"/>
    <w:rsid w:val="00B15B72"/>
    <w:rsid w:val="00B16227"/>
    <w:rsid w:val="00B1659A"/>
    <w:rsid w:val="00B17271"/>
    <w:rsid w:val="00B20262"/>
    <w:rsid w:val="00B20FA4"/>
    <w:rsid w:val="00B21DD5"/>
    <w:rsid w:val="00B21F61"/>
    <w:rsid w:val="00B21FA5"/>
    <w:rsid w:val="00B22271"/>
    <w:rsid w:val="00B22E30"/>
    <w:rsid w:val="00B24036"/>
    <w:rsid w:val="00B25134"/>
    <w:rsid w:val="00B25183"/>
    <w:rsid w:val="00B25B6E"/>
    <w:rsid w:val="00B261F1"/>
    <w:rsid w:val="00B2645E"/>
    <w:rsid w:val="00B265BC"/>
    <w:rsid w:val="00B27476"/>
    <w:rsid w:val="00B27522"/>
    <w:rsid w:val="00B277F6"/>
    <w:rsid w:val="00B27892"/>
    <w:rsid w:val="00B27AD0"/>
    <w:rsid w:val="00B31145"/>
    <w:rsid w:val="00B31AF0"/>
    <w:rsid w:val="00B31FB1"/>
    <w:rsid w:val="00B32503"/>
    <w:rsid w:val="00B32918"/>
    <w:rsid w:val="00B32A04"/>
    <w:rsid w:val="00B335BD"/>
    <w:rsid w:val="00B33696"/>
    <w:rsid w:val="00B33952"/>
    <w:rsid w:val="00B33C5E"/>
    <w:rsid w:val="00B34247"/>
    <w:rsid w:val="00B342F4"/>
    <w:rsid w:val="00B34369"/>
    <w:rsid w:val="00B343E6"/>
    <w:rsid w:val="00B34806"/>
    <w:rsid w:val="00B34DC2"/>
    <w:rsid w:val="00B35440"/>
    <w:rsid w:val="00B36EC0"/>
    <w:rsid w:val="00B37394"/>
    <w:rsid w:val="00B378E5"/>
    <w:rsid w:val="00B40E27"/>
    <w:rsid w:val="00B415A9"/>
    <w:rsid w:val="00B41611"/>
    <w:rsid w:val="00B42EBD"/>
    <w:rsid w:val="00B4310A"/>
    <w:rsid w:val="00B432F7"/>
    <w:rsid w:val="00B4346D"/>
    <w:rsid w:val="00B437C6"/>
    <w:rsid w:val="00B43DC1"/>
    <w:rsid w:val="00B440AC"/>
    <w:rsid w:val="00B440F4"/>
    <w:rsid w:val="00B445FA"/>
    <w:rsid w:val="00B447A5"/>
    <w:rsid w:val="00B45E49"/>
    <w:rsid w:val="00B463EB"/>
    <w:rsid w:val="00B4654C"/>
    <w:rsid w:val="00B465E2"/>
    <w:rsid w:val="00B46A0A"/>
    <w:rsid w:val="00B46D93"/>
    <w:rsid w:val="00B47293"/>
    <w:rsid w:val="00B50620"/>
    <w:rsid w:val="00B50E50"/>
    <w:rsid w:val="00B50EA8"/>
    <w:rsid w:val="00B52120"/>
    <w:rsid w:val="00B53370"/>
    <w:rsid w:val="00B53833"/>
    <w:rsid w:val="00B53FF8"/>
    <w:rsid w:val="00B54ABC"/>
    <w:rsid w:val="00B5505D"/>
    <w:rsid w:val="00B550AF"/>
    <w:rsid w:val="00B567F1"/>
    <w:rsid w:val="00B56D24"/>
    <w:rsid w:val="00B56FBE"/>
    <w:rsid w:val="00B57126"/>
    <w:rsid w:val="00B577FC"/>
    <w:rsid w:val="00B57A38"/>
    <w:rsid w:val="00B57D2E"/>
    <w:rsid w:val="00B6063E"/>
    <w:rsid w:val="00B60AB2"/>
    <w:rsid w:val="00B620E7"/>
    <w:rsid w:val="00B62598"/>
    <w:rsid w:val="00B62B58"/>
    <w:rsid w:val="00B62C3D"/>
    <w:rsid w:val="00B63A93"/>
    <w:rsid w:val="00B64EE7"/>
    <w:rsid w:val="00B65149"/>
    <w:rsid w:val="00B66567"/>
    <w:rsid w:val="00B666B1"/>
    <w:rsid w:val="00B66733"/>
    <w:rsid w:val="00B66972"/>
    <w:rsid w:val="00B66F52"/>
    <w:rsid w:val="00B66FE5"/>
    <w:rsid w:val="00B67062"/>
    <w:rsid w:val="00B67B1F"/>
    <w:rsid w:val="00B70BD2"/>
    <w:rsid w:val="00B70D9B"/>
    <w:rsid w:val="00B70F35"/>
    <w:rsid w:val="00B7120E"/>
    <w:rsid w:val="00B71674"/>
    <w:rsid w:val="00B71712"/>
    <w:rsid w:val="00B71F28"/>
    <w:rsid w:val="00B72880"/>
    <w:rsid w:val="00B741CA"/>
    <w:rsid w:val="00B74A80"/>
    <w:rsid w:val="00B74FE1"/>
    <w:rsid w:val="00B758BF"/>
    <w:rsid w:val="00B76976"/>
    <w:rsid w:val="00B76F06"/>
    <w:rsid w:val="00B7773A"/>
    <w:rsid w:val="00B77905"/>
    <w:rsid w:val="00B8011B"/>
    <w:rsid w:val="00B803BC"/>
    <w:rsid w:val="00B80569"/>
    <w:rsid w:val="00B809C9"/>
    <w:rsid w:val="00B80A0C"/>
    <w:rsid w:val="00B81125"/>
    <w:rsid w:val="00B81181"/>
    <w:rsid w:val="00B819D5"/>
    <w:rsid w:val="00B827A6"/>
    <w:rsid w:val="00B82BD7"/>
    <w:rsid w:val="00B82DA0"/>
    <w:rsid w:val="00B82FAD"/>
    <w:rsid w:val="00B831CE"/>
    <w:rsid w:val="00B83B5F"/>
    <w:rsid w:val="00B841E3"/>
    <w:rsid w:val="00B84336"/>
    <w:rsid w:val="00B8484F"/>
    <w:rsid w:val="00B84F75"/>
    <w:rsid w:val="00B85B89"/>
    <w:rsid w:val="00B85E22"/>
    <w:rsid w:val="00B86677"/>
    <w:rsid w:val="00B867EE"/>
    <w:rsid w:val="00B87131"/>
    <w:rsid w:val="00B87DB6"/>
    <w:rsid w:val="00B90048"/>
    <w:rsid w:val="00B90F38"/>
    <w:rsid w:val="00B91197"/>
    <w:rsid w:val="00B916F9"/>
    <w:rsid w:val="00B91F55"/>
    <w:rsid w:val="00B92728"/>
    <w:rsid w:val="00B93180"/>
    <w:rsid w:val="00B93244"/>
    <w:rsid w:val="00B934E4"/>
    <w:rsid w:val="00B9375A"/>
    <w:rsid w:val="00B93843"/>
    <w:rsid w:val="00B939B1"/>
    <w:rsid w:val="00B93CA7"/>
    <w:rsid w:val="00B94BFB"/>
    <w:rsid w:val="00B95BE3"/>
    <w:rsid w:val="00B967F2"/>
    <w:rsid w:val="00B96D40"/>
    <w:rsid w:val="00B97386"/>
    <w:rsid w:val="00B978DB"/>
    <w:rsid w:val="00B97A71"/>
    <w:rsid w:val="00BA1299"/>
    <w:rsid w:val="00BA13B5"/>
    <w:rsid w:val="00BA263B"/>
    <w:rsid w:val="00BA2F3B"/>
    <w:rsid w:val="00BA2FAF"/>
    <w:rsid w:val="00BA30E0"/>
    <w:rsid w:val="00BA32F8"/>
    <w:rsid w:val="00BA3B6E"/>
    <w:rsid w:val="00BA3C10"/>
    <w:rsid w:val="00BA42B2"/>
    <w:rsid w:val="00BA4B20"/>
    <w:rsid w:val="00BA4F5C"/>
    <w:rsid w:val="00BA58D4"/>
    <w:rsid w:val="00BA5B9E"/>
    <w:rsid w:val="00BA6BF3"/>
    <w:rsid w:val="00BA7C9A"/>
    <w:rsid w:val="00BB0CC7"/>
    <w:rsid w:val="00BB2773"/>
    <w:rsid w:val="00BB2C29"/>
    <w:rsid w:val="00BB3416"/>
    <w:rsid w:val="00BB47C2"/>
    <w:rsid w:val="00BB4BBA"/>
    <w:rsid w:val="00BB5F8F"/>
    <w:rsid w:val="00BB657A"/>
    <w:rsid w:val="00BB6F41"/>
    <w:rsid w:val="00BB7311"/>
    <w:rsid w:val="00BC03A7"/>
    <w:rsid w:val="00BC09C4"/>
    <w:rsid w:val="00BC10A8"/>
    <w:rsid w:val="00BC1309"/>
    <w:rsid w:val="00BC1718"/>
    <w:rsid w:val="00BC1A4E"/>
    <w:rsid w:val="00BC2D43"/>
    <w:rsid w:val="00BC31B8"/>
    <w:rsid w:val="00BC3490"/>
    <w:rsid w:val="00BC452F"/>
    <w:rsid w:val="00BC4E3F"/>
    <w:rsid w:val="00BC5C45"/>
    <w:rsid w:val="00BC5CD1"/>
    <w:rsid w:val="00BC5DC7"/>
    <w:rsid w:val="00BC681F"/>
    <w:rsid w:val="00BC6A1D"/>
    <w:rsid w:val="00BC6B8B"/>
    <w:rsid w:val="00BC73A8"/>
    <w:rsid w:val="00BC73D8"/>
    <w:rsid w:val="00BD05CA"/>
    <w:rsid w:val="00BD129E"/>
    <w:rsid w:val="00BD13CF"/>
    <w:rsid w:val="00BD1F01"/>
    <w:rsid w:val="00BD2305"/>
    <w:rsid w:val="00BD2F01"/>
    <w:rsid w:val="00BD3252"/>
    <w:rsid w:val="00BD36A1"/>
    <w:rsid w:val="00BD466E"/>
    <w:rsid w:val="00BD52D7"/>
    <w:rsid w:val="00BD5620"/>
    <w:rsid w:val="00BD5AD2"/>
    <w:rsid w:val="00BD7B17"/>
    <w:rsid w:val="00BE1261"/>
    <w:rsid w:val="00BE161D"/>
    <w:rsid w:val="00BE22F3"/>
    <w:rsid w:val="00BE275F"/>
    <w:rsid w:val="00BE291D"/>
    <w:rsid w:val="00BE30B7"/>
    <w:rsid w:val="00BE389F"/>
    <w:rsid w:val="00BE400D"/>
    <w:rsid w:val="00BE5955"/>
    <w:rsid w:val="00BE5B52"/>
    <w:rsid w:val="00BE6667"/>
    <w:rsid w:val="00BE79A4"/>
    <w:rsid w:val="00BE7B8D"/>
    <w:rsid w:val="00BE7BEB"/>
    <w:rsid w:val="00BF0993"/>
    <w:rsid w:val="00BF10A9"/>
    <w:rsid w:val="00BF1703"/>
    <w:rsid w:val="00BF1C91"/>
    <w:rsid w:val="00BF2106"/>
    <w:rsid w:val="00BF231C"/>
    <w:rsid w:val="00BF2648"/>
    <w:rsid w:val="00BF39EB"/>
    <w:rsid w:val="00BF3EA1"/>
    <w:rsid w:val="00BF51E5"/>
    <w:rsid w:val="00BF5310"/>
    <w:rsid w:val="00BF5CF9"/>
    <w:rsid w:val="00BF61CE"/>
    <w:rsid w:val="00BF74A6"/>
    <w:rsid w:val="00BF7718"/>
    <w:rsid w:val="00BF7E4D"/>
    <w:rsid w:val="00C00C43"/>
    <w:rsid w:val="00C0106D"/>
    <w:rsid w:val="00C013AD"/>
    <w:rsid w:val="00C020FB"/>
    <w:rsid w:val="00C02CF0"/>
    <w:rsid w:val="00C0343E"/>
    <w:rsid w:val="00C04904"/>
    <w:rsid w:val="00C050E7"/>
    <w:rsid w:val="00C056B3"/>
    <w:rsid w:val="00C057C5"/>
    <w:rsid w:val="00C05F78"/>
    <w:rsid w:val="00C06870"/>
    <w:rsid w:val="00C06E3B"/>
    <w:rsid w:val="00C07093"/>
    <w:rsid w:val="00C072CE"/>
    <w:rsid w:val="00C07364"/>
    <w:rsid w:val="00C07746"/>
    <w:rsid w:val="00C103E5"/>
    <w:rsid w:val="00C10F1B"/>
    <w:rsid w:val="00C118DB"/>
    <w:rsid w:val="00C11EF4"/>
    <w:rsid w:val="00C11FE5"/>
    <w:rsid w:val="00C13319"/>
    <w:rsid w:val="00C13CA8"/>
    <w:rsid w:val="00C13EE9"/>
    <w:rsid w:val="00C1501C"/>
    <w:rsid w:val="00C15A59"/>
    <w:rsid w:val="00C15ED2"/>
    <w:rsid w:val="00C160B9"/>
    <w:rsid w:val="00C16A65"/>
    <w:rsid w:val="00C175DD"/>
    <w:rsid w:val="00C17E95"/>
    <w:rsid w:val="00C21540"/>
    <w:rsid w:val="00C21906"/>
    <w:rsid w:val="00C21BFA"/>
    <w:rsid w:val="00C2367F"/>
    <w:rsid w:val="00C248B4"/>
    <w:rsid w:val="00C24C5A"/>
    <w:rsid w:val="00C24C8D"/>
    <w:rsid w:val="00C253A5"/>
    <w:rsid w:val="00C25FE2"/>
    <w:rsid w:val="00C260F4"/>
    <w:rsid w:val="00C267AB"/>
    <w:rsid w:val="00C26B53"/>
    <w:rsid w:val="00C26CA6"/>
    <w:rsid w:val="00C27456"/>
    <w:rsid w:val="00C27781"/>
    <w:rsid w:val="00C279B2"/>
    <w:rsid w:val="00C27B83"/>
    <w:rsid w:val="00C31195"/>
    <w:rsid w:val="00C317DB"/>
    <w:rsid w:val="00C31D8E"/>
    <w:rsid w:val="00C3383F"/>
    <w:rsid w:val="00C33E50"/>
    <w:rsid w:val="00C343A4"/>
    <w:rsid w:val="00C34452"/>
    <w:rsid w:val="00C34659"/>
    <w:rsid w:val="00C34C20"/>
    <w:rsid w:val="00C34D8A"/>
    <w:rsid w:val="00C3536E"/>
    <w:rsid w:val="00C35A3E"/>
    <w:rsid w:val="00C35DF1"/>
    <w:rsid w:val="00C363D6"/>
    <w:rsid w:val="00C364B7"/>
    <w:rsid w:val="00C36DB8"/>
    <w:rsid w:val="00C37758"/>
    <w:rsid w:val="00C40093"/>
    <w:rsid w:val="00C41C27"/>
    <w:rsid w:val="00C41D96"/>
    <w:rsid w:val="00C42130"/>
    <w:rsid w:val="00C423A4"/>
    <w:rsid w:val="00C43264"/>
    <w:rsid w:val="00C436FE"/>
    <w:rsid w:val="00C4432D"/>
    <w:rsid w:val="00C44BF5"/>
    <w:rsid w:val="00C4533D"/>
    <w:rsid w:val="00C4541A"/>
    <w:rsid w:val="00C45425"/>
    <w:rsid w:val="00C46181"/>
    <w:rsid w:val="00C47554"/>
    <w:rsid w:val="00C50FF1"/>
    <w:rsid w:val="00C5112E"/>
    <w:rsid w:val="00C51A2F"/>
    <w:rsid w:val="00C51FE9"/>
    <w:rsid w:val="00C521D6"/>
    <w:rsid w:val="00C53BB3"/>
    <w:rsid w:val="00C543CB"/>
    <w:rsid w:val="00C5452C"/>
    <w:rsid w:val="00C54AD6"/>
    <w:rsid w:val="00C55232"/>
    <w:rsid w:val="00C553A4"/>
    <w:rsid w:val="00C55650"/>
    <w:rsid w:val="00C55A06"/>
    <w:rsid w:val="00C55D03"/>
    <w:rsid w:val="00C56308"/>
    <w:rsid w:val="00C56AAD"/>
    <w:rsid w:val="00C577C1"/>
    <w:rsid w:val="00C601BC"/>
    <w:rsid w:val="00C60832"/>
    <w:rsid w:val="00C6164C"/>
    <w:rsid w:val="00C61AA3"/>
    <w:rsid w:val="00C6236F"/>
    <w:rsid w:val="00C6329F"/>
    <w:rsid w:val="00C63340"/>
    <w:rsid w:val="00C643F9"/>
    <w:rsid w:val="00C64622"/>
    <w:rsid w:val="00C64E95"/>
    <w:rsid w:val="00C65322"/>
    <w:rsid w:val="00C65531"/>
    <w:rsid w:val="00C65FFD"/>
    <w:rsid w:val="00C66239"/>
    <w:rsid w:val="00C666AA"/>
    <w:rsid w:val="00C66710"/>
    <w:rsid w:val="00C668CC"/>
    <w:rsid w:val="00C669FB"/>
    <w:rsid w:val="00C7073E"/>
    <w:rsid w:val="00C70DC4"/>
    <w:rsid w:val="00C71372"/>
    <w:rsid w:val="00C715CB"/>
    <w:rsid w:val="00C72410"/>
    <w:rsid w:val="00C7287F"/>
    <w:rsid w:val="00C73155"/>
    <w:rsid w:val="00C732EC"/>
    <w:rsid w:val="00C73783"/>
    <w:rsid w:val="00C744F5"/>
    <w:rsid w:val="00C747B3"/>
    <w:rsid w:val="00C74CDA"/>
    <w:rsid w:val="00C75283"/>
    <w:rsid w:val="00C75573"/>
    <w:rsid w:val="00C75C7A"/>
    <w:rsid w:val="00C77D7A"/>
    <w:rsid w:val="00C80CB8"/>
    <w:rsid w:val="00C817D6"/>
    <w:rsid w:val="00C819F8"/>
    <w:rsid w:val="00C82327"/>
    <w:rsid w:val="00C8248C"/>
    <w:rsid w:val="00C82AD3"/>
    <w:rsid w:val="00C8361E"/>
    <w:rsid w:val="00C83679"/>
    <w:rsid w:val="00C84160"/>
    <w:rsid w:val="00C84E33"/>
    <w:rsid w:val="00C84EE3"/>
    <w:rsid w:val="00C856BD"/>
    <w:rsid w:val="00C8587E"/>
    <w:rsid w:val="00C860BA"/>
    <w:rsid w:val="00C86A6E"/>
    <w:rsid w:val="00C86D6F"/>
    <w:rsid w:val="00C86F33"/>
    <w:rsid w:val="00C87949"/>
    <w:rsid w:val="00C87BC9"/>
    <w:rsid w:val="00C87DF6"/>
    <w:rsid w:val="00C9001B"/>
    <w:rsid w:val="00C905FC"/>
    <w:rsid w:val="00C91D1C"/>
    <w:rsid w:val="00C92D03"/>
    <w:rsid w:val="00C9319C"/>
    <w:rsid w:val="00C9435D"/>
    <w:rsid w:val="00C94BAC"/>
    <w:rsid w:val="00C94C26"/>
    <w:rsid w:val="00C958D1"/>
    <w:rsid w:val="00C95B61"/>
    <w:rsid w:val="00C96741"/>
    <w:rsid w:val="00C96F66"/>
    <w:rsid w:val="00CA08C7"/>
    <w:rsid w:val="00CA0CBB"/>
    <w:rsid w:val="00CA17CF"/>
    <w:rsid w:val="00CA2047"/>
    <w:rsid w:val="00CA2140"/>
    <w:rsid w:val="00CA26C5"/>
    <w:rsid w:val="00CA2C5B"/>
    <w:rsid w:val="00CA2D1B"/>
    <w:rsid w:val="00CA36BD"/>
    <w:rsid w:val="00CA3798"/>
    <w:rsid w:val="00CA4097"/>
    <w:rsid w:val="00CA42C5"/>
    <w:rsid w:val="00CA4780"/>
    <w:rsid w:val="00CA4D9A"/>
    <w:rsid w:val="00CA5239"/>
    <w:rsid w:val="00CA5B83"/>
    <w:rsid w:val="00CA662A"/>
    <w:rsid w:val="00CA7AFD"/>
    <w:rsid w:val="00CA7C00"/>
    <w:rsid w:val="00CA7C3C"/>
    <w:rsid w:val="00CB0189"/>
    <w:rsid w:val="00CB0BA2"/>
    <w:rsid w:val="00CB0DBB"/>
    <w:rsid w:val="00CB11AB"/>
    <w:rsid w:val="00CB1A42"/>
    <w:rsid w:val="00CB1B0C"/>
    <w:rsid w:val="00CB282D"/>
    <w:rsid w:val="00CB2C0B"/>
    <w:rsid w:val="00CB32C1"/>
    <w:rsid w:val="00CB4830"/>
    <w:rsid w:val="00CB517D"/>
    <w:rsid w:val="00CB6CB7"/>
    <w:rsid w:val="00CB70D0"/>
    <w:rsid w:val="00CB7227"/>
    <w:rsid w:val="00CB72B5"/>
    <w:rsid w:val="00CC0315"/>
    <w:rsid w:val="00CC038D"/>
    <w:rsid w:val="00CC03C1"/>
    <w:rsid w:val="00CC0A5D"/>
    <w:rsid w:val="00CC1A52"/>
    <w:rsid w:val="00CC321A"/>
    <w:rsid w:val="00CC39FF"/>
    <w:rsid w:val="00CC3C2F"/>
    <w:rsid w:val="00CC3FB6"/>
    <w:rsid w:val="00CC4AC8"/>
    <w:rsid w:val="00CC5233"/>
    <w:rsid w:val="00CC5DE6"/>
    <w:rsid w:val="00CC629A"/>
    <w:rsid w:val="00CC6480"/>
    <w:rsid w:val="00CC6E4E"/>
    <w:rsid w:val="00CC6FE8"/>
    <w:rsid w:val="00CC7202"/>
    <w:rsid w:val="00CD0310"/>
    <w:rsid w:val="00CD0763"/>
    <w:rsid w:val="00CD0C1D"/>
    <w:rsid w:val="00CD0D9D"/>
    <w:rsid w:val="00CD0EE8"/>
    <w:rsid w:val="00CD0F6F"/>
    <w:rsid w:val="00CD21C9"/>
    <w:rsid w:val="00CD235C"/>
    <w:rsid w:val="00CD2808"/>
    <w:rsid w:val="00CD28BF"/>
    <w:rsid w:val="00CD3904"/>
    <w:rsid w:val="00CD4092"/>
    <w:rsid w:val="00CD40B9"/>
    <w:rsid w:val="00CD455E"/>
    <w:rsid w:val="00CD4A20"/>
    <w:rsid w:val="00CD50A1"/>
    <w:rsid w:val="00CD519E"/>
    <w:rsid w:val="00CD615C"/>
    <w:rsid w:val="00CD6E48"/>
    <w:rsid w:val="00CD7BAD"/>
    <w:rsid w:val="00CE058D"/>
    <w:rsid w:val="00CE0958"/>
    <w:rsid w:val="00CE0C4F"/>
    <w:rsid w:val="00CE11B7"/>
    <w:rsid w:val="00CE19FB"/>
    <w:rsid w:val="00CE1A80"/>
    <w:rsid w:val="00CE1AD1"/>
    <w:rsid w:val="00CE2301"/>
    <w:rsid w:val="00CE2FEA"/>
    <w:rsid w:val="00CE30EA"/>
    <w:rsid w:val="00CE508A"/>
    <w:rsid w:val="00CE552F"/>
    <w:rsid w:val="00CE5583"/>
    <w:rsid w:val="00CE5C94"/>
    <w:rsid w:val="00CE7697"/>
    <w:rsid w:val="00CE7D2D"/>
    <w:rsid w:val="00CF048A"/>
    <w:rsid w:val="00CF05D5"/>
    <w:rsid w:val="00CF0DD5"/>
    <w:rsid w:val="00CF155A"/>
    <w:rsid w:val="00CF1718"/>
    <w:rsid w:val="00CF2947"/>
    <w:rsid w:val="00CF3BD1"/>
    <w:rsid w:val="00CF3C2A"/>
    <w:rsid w:val="00CF3E91"/>
    <w:rsid w:val="00CF40AE"/>
    <w:rsid w:val="00CF41A0"/>
    <w:rsid w:val="00CF4E76"/>
    <w:rsid w:val="00CF5EAF"/>
    <w:rsid w:val="00CF686F"/>
    <w:rsid w:val="00CF68FB"/>
    <w:rsid w:val="00CF6E60"/>
    <w:rsid w:val="00CF6E80"/>
    <w:rsid w:val="00CF7298"/>
    <w:rsid w:val="00CF7426"/>
    <w:rsid w:val="00CF74D6"/>
    <w:rsid w:val="00CF798D"/>
    <w:rsid w:val="00CF7BCA"/>
    <w:rsid w:val="00D00105"/>
    <w:rsid w:val="00D00342"/>
    <w:rsid w:val="00D0047F"/>
    <w:rsid w:val="00D008FD"/>
    <w:rsid w:val="00D014FD"/>
    <w:rsid w:val="00D027EC"/>
    <w:rsid w:val="00D02F1F"/>
    <w:rsid w:val="00D03088"/>
    <w:rsid w:val="00D0321C"/>
    <w:rsid w:val="00D035EC"/>
    <w:rsid w:val="00D036DB"/>
    <w:rsid w:val="00D03796"/>
    <w:rsid w:val="00D03E14"/>
    <w:rsid w:val="00D0516B"/>
    <w:rsid w:val="00D058A3"/>
    <w:rsid w:val="00D06166"/>
    <w:rsid w:val="00D065D5"/>
    <w:rsid w:val="00D06AB1"/>
    <w:rsid w:val="00D06B4E"/>
    <w:rsid w:val="00D072ED"/>
    <w:rsid w:val="00D07A16"/>
    <w:rsid w:val="00D1067E"/>
    <w:rsid w:val="00D10F50"/>
    <w:rsid w:val="00D11272"/>
    <w:rsid w:val="00D11AF6"/>
    <w:rsid w:val="00D11C19"/>
    <w:rsid w:val="00D12214"/>
    <w:rsid w:val="00D126F5"/>
    <w:rsid w:val="00D12776"/>
    <w:rsid w:val="00D12BFE"/>
    <w:rsid w:val="00D12CD9"/>
    <w:rsid w:val="00D1321D"/>
    <w:rsid w:val="00D1489E"/>
    <w:rsid w:val="00D14A87"/>
    <w:rsid w:val="00D14E15"/>
    <w:rsid w:val="00D15054"/>
    <w:rsid w:val="00D15552"/>
    <w:rsid w:val="00D16496"/>
    <w:rsid w:val="00D164FB"/>
    <w:rsid w:val="00D16C16"/>
    <w:rsid w:val="00D16C91"/>
    <w:rsid w:val="00D2039F"/>
    <w:rsid w:val="00D20737"/>
    <w:rsid w:val="00D2193A"/>
    <w:rsid w:val="00D21E81"/>
    <w:rsid w:val="00D223DE"/>
    <w:rsid w:val="00D22765"/>
    <w:rsid w:val="00D227DE"/>
    <w:rsid w:val="00D22CF8"/>
    <w:rsid w:val="00D242BE"/>
    <w:rsid w:val="00D244B8"/>
    <w:rsid w:val="00D25E37"/>
    <w:rsid w:val="00D2661A"/>
    <w:rsid w:val="00D267DF"/>
    <w:rsid w:val="00D26EAA"/>
    <w:rsid w:val="00D2702C"/>
    <w:rsid w:val="00D27582"/>
    <w:rsid w:val="00D279B6"/>
    <w:rsid w:val="00D27CF5"/>
    <w:rsid w:val="00D27E7B"/>
    <w:rsid w:val="00D32719"/>
    <w:rsid w:val="00D32E74"/>
    <w:rsid w:val="00D32FA9"/>
    <w:rsid w:val="00D33333"/>
    <w:rsid w:val="00D33374"/>
    <w:rsid w:val="00D338E5"/>
    <w:rsid w:val="00D339BE"/>
    <w:rsid w:val="00D33DA1"/>
    <w:rsid w:val="00D34BD2"/>
    <w:rsid w:val="00D34CB7"/>
    <w:rsid w:val="00D3512C"/>
    <w:rsid w:val="00D352A2"/>
    <w:rsid w:val="00D35BDA"/>
    <w:rsid w:val="00D35FB0"/>
    <w:rsid w:val="00D377AA"/>
    <w:rsid w:val="00D379BF"/>
    <w:rsid w:val="00D37E29"/>
    <w:rsid w:val="00D402E5"/>
    <w:rsid w:val="00D40A00"/>
    <w:rsid w:val="00D40A04"/>
    <w:rsid w:val="00D40BC7"/>
    <w:rsid w:val="00D4162B"/>
    <w:rsid w:val="00D42654"/>
    <w:rsid w:val="00D4333E"/>
    <w:rsid w:val="00D44F1E"/>
    <w:rsid w:val="00D4514F"/>
    <w:rsid w:val="00D451E2"/>
    <w:rsid w:val="00D45662"/>
    <w:rsid w:val="00D45D72"/>
    <w:rsid w:val="00D45E89"/>
    <w:rsid w:val="00D45E8D"/>
    <w:rsid w:val="00D466AE"/>
    <w:rsid w:val="00D4734F"/>
    <w:rsid w:val="00D50A37"/>
    <w:rsid w:val="00D51778"/>
    <w:rsid w:val="00D51BF3"/>
    <w:rsid w:val="00D53912"/>
    <w:rsid w:val="00D54834"/>
    <w:rsid w:val="00D54868"/>
    <w:rsid w:val="00D54B98"/>
    <w:rsid w:val="00D55905"/>
    <w:rsid w:val="00D565AD"/>
    <w:rsid w:val="00D56D85"/>
    <w:rsid w:val="00D578EF"/>
    <w:rsid w:val="00D60196"/>
    <w:rsid w:val="00D60574"/>
    <w:rsid w:val="00D608F3"/>
    <w:rsid w:val="00D60C19"/>
    <w:rsid w:val="00D61F29"/>
    <w:rsid w:val="00D62686"/>
    <w:rsid w:val="00D62DCC"/>
    <w:rsid w:val="00D633FF"/>
    <w:rsid w:val="00D637ED"/>
    <w:rsid w:val="00D6607D"/>
    <w:rsid w:val="00D661A7"/>
    <w:rsid w:val="00D66846"/>
    <w:rsid w:val="00D66882"/>
    <w:rsid w:val="00D675FB"/>
    <w:rsid w:val="00D67C1C"/>
    <w:rsid w:val="00D67E27"/>
    <w:rsid w:val="00D67F3C"/>
    <w:rsid w:val="00D7086B"/>
    <w:rsid w:val="00D70F25"/>
    <w:rsid w:val="00D7136C"/>
    <w:rsid w:val="00D71F25"/>
    <w:rsid w:val="00D7215A"/>
    <w:rsid w:val="00D728EB"/>
    <w:rsid w:val="00D729B3"/>
    <w:rsid w:val="00D730DB"/>
    <w:rsid w:val="00D74AAC"/>
    <w:rsid w:val="00D754E6"/>
    <w:rsid w:val="00D757E7"/>
    <w:rsid w:val="00D75822"/>
    <w:rsid w:val="00D75B35"/>
    <w:rsid w:val="00D77031"/>
    <w:rsid w:val="00D77CC5"/>
    <w:rsid w:val="00D80087"/>
    <w:rsid w:val="00D807CC"/>
    <w:rsid w:val="00D808C0"/>
    <w:rsid w:val="00D80C94"/>
    <w:rsid w:val="00D80E3E"/>
    <w:rsid w:val="00D81136"/>
    <w:rsid w:val="00D81C6E"/>
    <w:rsid w:val="00D81F0F"/>
    <w:rsid w:val="00D8226C"/>
    <w:rsid w:val="00D82D99"/>
    <w:rsid w:val="00D83CD2"/>
    <w:rsid w:val="00D841D3"/>
    <w:rsid w:val="00D846F2"/>
    <w:rsid w:val="00D84941"/>
    <w:rsid w:val="00D8496B"/>
    <w:rsid w:val="00D84B44"/>
    <w:rsid w:val="00D84FA1"/>
    <w:rsid w:val="00D851F0"/>
    <w:rsid w:val="00D86476"/>
    <w:rsid w:val="00D866BF"/>
    <w:rsid w:val="00D86801"/>
    <w:rsid w:val="00D86DB7"/>
    <w:rsid w:val="00D874FE"/>
    <w:rsid w:val="00D9016C"/>
    <w:rsid w:val="00D9060C"/>
    <w:rsid w:val="00D90CC8"/>
    <w:rsid w:val="00D90EEE"/>
    <w:rsid w:val="00D91054"/>
    <w:rsid w:val="00D91C3E"/>
    <w:rsid w:val="00D92576"/>
    <w:rsid w:val="00D926D0"/>
    <w:rsid w:val="00D93030"/>
    <w:rsid w:val="00D93E5D"/>
    <w:rsid w:val="00D94A48"/>
    <w:rsid w:val="00D94B91"/>
    <w:rsid w:val="00D94C44"/>
    <w:rsid w:val="00D94E74"/>
    <w:rsid w:val="00D94EB3"/>
    <w:rsid w:val="00D950E1"/>
    <w:rsid w:val="00D952A6"/>
    <w:rsid w:val="00D9543F"/>
    <w:rsid w:val="00D95B56"/>
    <w:rsid w:val="00D95DCC"/>
    <w:rsid w:val="00D95E84"/>
    <w:rsid w:val="00D975CC"/>
    <w:rsid w:val="00D97F99"/>
    <w:rsid w:val="00DA0A72"/>
    <w:rsid w:val="00DA1523"/>
    <w:rsid w:val="00DA1E08"/>
    <w:rsid w:val="00DA24F8"/>
    <w:rsid w:val="00DA28E8"/>
    <w:rsid w:val="00DA38D3"/>
    <w:rsid w:val="00DA3932"/>
    <w:rsid w:val="00DA3AFC"/>
    <w:rsid w:val="00DA4990"/>
    <w:rsid w:val="00DA52AA"/>
    <w:rsid w:val="00DA5C97"/>
    <w:rsid w:val="00DA6276"/>
    <w:rsid w:val="00DA64F8"/>
    <w:rsid w:val="00DA6C15"/>
    <w:rsid w:val="00DA7949"/>
    <w:rsid w:val="00DA7AA7"/>
    <w:rsid w:val="00DB059D"/>
    <w:rsid w:val="00DB0AD5"/>
    <w:rsid w:val="00DB28E4"/>
    <w:rsid w:val="00DB2D08"/>
    <w:rsid w:val="00DB317A"/>
    <w:rsid w:val="00DB38EE"/>
    <w:rsid w:val="00DB43F5"/>
    <w:rsid w:val="00DB45A7"/>
    <w:rsid w:val="00DB47AB"/>
    <w:rsid w:val="00DB498B"/>
    <w:rsid w:val="00DB5367"/>
    <w:rsid w:val="00DB6363"/>
    <w:rsid w:val="00DB66CA"/>
    <w:rsid w:val="00DB6BCA"/>
    <w:rsid w:val="00DB7113"/>
    <w:rsid w:val="00DB76E2"/>
    <w:rsid w:val="00DB7C53"/>
    <w:rsid w:val="00DC0321"/>
    <w:rsid w:val="00DC044E"/>
    <w:rsid w:val="00DC0F00"/>
    <w:rsid w:val="00DC15F0"/>
    <w:rsid w:val="00DC1621"/>
    <w:rsid w:val="00DC2FBE"/>
    <w:rsid w:val="00DC3067"/>
    <w:rsid w:val="00DC370B"/>
    <w:rsid w:val="00DC5B90"/>
    <w:rsid w:val="00DC5C20"/>
    <w:rsid w:val="00DC60B4"/>
    <w:rsid w:val="00DD00FF"/>
    <w:rsid w:val="00DD057E"/>
    <w:rsid w:val="00DD0619"/>
    <w:rsid w:val="00DD07FB"/>
    <w:rsid w:val="00DD0F00"/>
    <w:rsid w:val="00DD23C9"/>
    <w:rsid w:val="00DD2554"/>
    <w:rsid w:val="00DD25C6"/>
    <w:rsid w:val="00DD2B81"/>
    <w:rsid w:val="00DD2DD1"/>
    <w:rsid w:val="00DD315B"/>
    <w:rsid w:val="00DD3F2D"/>
    <w:rsid w:val="00DD43C6"/>
    <w:rsid w:val="00DD43FC"/>
    <w:rsid w:val="00DD4FE5"/>
    <w:rsid w:val="00DD54B0"/>
    <w:rsid w:val="00DD57EE"/>
    <w:rsid w:val="00DD6004"/>
    <w:rsid w:val="00DD6594"/>
    <w:rsid w:val="00DD697E"/>
    <w:rsid w:val="00DD6BCC"/>
    <w:rsid w:val="00DD6F99"/>
    <w:rsid w:val="00DD706A"/>
    <w:rsid w:val="00DD7315"/>
    <w:rsid w:val="00DE0A4B"/>
    <w:rsid w:val="00DE14A6"/>
    <w:rsid w:val="00DE2410"/>
    <w:rsid w:val="00DE2939"/>
    <w:rsid w:val="00DE3E3A"/>
    <w:rsid w:val="00DE4985"/>
    <w:rsid w:val="00DE4C13"/>
    <w:rsid w:val="00DE5138"/>
    <w:rsid w:val="00DE5505"/>
    <w:rsid w:val="00DE5929"/>
    <w:rsid w:val="00DE5B23"/>
    <w:rsid w:val="00DE6CD2"/>
    <w:rsid w:val="00DE6E81"/>
    <w:rsid w:val="00DE703F"/>
    <w:rsid w:val="00DE7595"/>
    <w:rsid w:val="00DE792E"/>
    <w:rsid w:val="00DE7F23"/>
    <w:rsid w:val="00DF00CF"/>
    <w:rsid w:val="00DF059D"/>
    <w:rsid w:val="00DF1132"/>
    <w:rsid w:val="00DF1961"/>
    <w:rsid w:val="00DF222E"/>
    <w:rsid w:val="00DF27D7"/>
    <w:rsid w:val="00DF38D1"/>
    <w:rsid w:val="00DF44DE"/>
    <w:rsid w:val="00DF48AB"/>
    <w:rsid w:val="00DF4A10"/>
    <w:rsid w:val="00DF6F9D"/>
    <w:rsid w:val="00DF7660"/>
    <w:rsid w:val="00DF7D2B"/>
    <w:rsid w:val="00E01138"/>
    <w:rsid w:val="00E01140"/>
    <w:rsid w:val="00E01AE9"/>
    <w:rsid w:val="00E01C01"/>
    <w:rsid w:val="00E02538"/>
    <w:rsid w:val="00E02DFB"/>
    <w:rsid w:val="00E030F9"/>
    <w:rsid w:val="00E0311A"/>
    <w:rsid w:val="00E03138"/>
    <w:rsid w:val="00E03839"/>
    <w:rsid w:val="00E046BB"/>
    <w:rsid w:val="00E05525"/>
    <w:rsid w:val="00E058CA"/>
    <w:rsid w:val="00E06404"/>
    <w:rsid w:val="00E104A4"/>
    <w:rsid w:val="00E10E7B"/>
    <w:rsid w:val="00E10EB8"/>
    <w:rsid w:val="00E11A85"/>
    <w:rsid w:val="00E1218C"/>
    <w:rsid w:val="00E12495"/>
    <w:rsid w:val="00E124B1"/>
    <w:rsid w:val="00E1291E"/>
    <w:rsid w:val="00E14293"/>
    <w:rsid w:val="00E14884"/>
    <w:rsid w:val="00E15CCD"/>
    <w:rsid w:val="00E15D9E"/>
    <w:rsid w:val="00E161B2"/>
    <w:rsid w:val="00E16321"/>
    <w:rsid w:val="00E175DA"/>
    <w:rsid w:val="00E17604"/>
    <w:rsid w:val="00E177B7"/>
    <w:rsid w:val="00E17ACC"/>
    <w:rsid w:val="00E202EF"/>
    <w:rsid w:val="00E210B5"/>
    <w:rsid w:val="00E21536"/>
    <w:rsid w:val="00E21633"/>
    <w:rsid w:val="00E21924"/>
    <w:rsid w:val="00E21973"/>
    <w:rsid w:val="00E21B41"/>
    <w:rsid w:val="00E21EC3"/>
    <w:rsid w:val="00E22342"/>
    <w:rsid w:val="00E224ED"/>
    <w:rsid w:val="00E24D6E"/>
    <w:rsid w:val="00E250E2"/>
    <w:rsid w:val="00E2552F"/>
    <w:rsid w:val="00E25C2C"/>
    <w:rsid w:val="00E25EA9"/>
    <w:rsid w:val="00E2621D"/>
    <w:rsid w:val="00E26940"/>
    <w:rsid w:val="00E27663"/>
    <w:rsid w:val="00E27B94"/>
    <w:rsid w:val="00E304B9"/>
    <w:rsid w:val="00E30FA8"/>
    <w:rsid w:val="00E312B7"/>
    <w:rsid w:val="00E3137A"/>
    <w:rsid w:val="00E31E1F"/>
    <w:rsid w:val="00E31F46"/>
    <w:rsid w:val="00E31FC2"/>
    <w:rsid w:val="00E32213"/>
    <w:rsid w:val="00E323AE"/>
    <w:rsid w:val="00E32C58"/>
    <w:rsid w:val="00E32CCF"/>
    <w:rsid w:val="00E33542"/>
    <w:rsid w:val="00E34A98"/>
    <w:rsid w:val="00E357CF"/>
    <w:rsid w:val="00E35D1E"/>
    <w:rsid w:val="00E364DE"/>
    <w:rsid w:val="00E364F9"/>
    <w:rsid w:val="00E365FA"/>
    <w:rsid w:val="00E36789"/>
    <w:rsid w:val="00E36CC5"/>
    <w:rsid w:val="00E36EB1"/>
    <w:rsid w:val="00E371AD"/>
    <w:rsid w:val="00E37502"/>
    <w:rsid w:val="00E3770C"/>
    <w:rsid w:val="00E37BD9"/>
    <w:rsid w:val="00E4034C"/>
    <w:rsid w:val="00E409E3"/>
    <w:rsid w:val="00E40A8F"/>
    <w:rsid w:val="00E4198D"/>
    <w:rsid w:val="00E41E81"/>
    <w:rsid w:val="00E4224B"/>
    <w:rsid w:val="00E4259F"/>
    <w:rsid w:val="00E42D3A"/>
    <w:rsid w:val="00E43043"/>
    <w:rsid w:val="00E434CC"/>
    <w:rsid w:val="00E43EB4"/>
    <w:rsid w:val="00E44A83"/>
    <w:rsid w:val="00E4501D"/>
    <w:rsid w:val="00E463B8"/>
    <w:rsid w:val="00E46826"/>
    <w:rsid w:val="00E47416"/>
    <w:rsid w:val="00E502C1"/>
    <w:rsid w:val="00E502DD"/>
    <w:rsid w:val="00E50511"/>
    <w:rsid w:val="00E50A53"/>
    <w:rsid w:val="00E50D3A"/>
    <w:rsid w:val="00E51387"/>
    <w:rsid w:val="00E51E68"/>
    <w:rsid w:val="00E52D26"/>
    <w:rsid w:val="00E52E08"/>
    <w:rsid w:val="00E52EFD"/>
    <w:rsid w:val="00E53111"/>
    <w:rsid w:val="00E5408A"/>
    <w:rsid w:val="00E546E6"/>
    <w:rsid w:val="00E54823"/>
    <w:rsid w:val="00E5489D"/>
    <w:rsid w:val="00E557B2"/>
    <w:rsid w:val="00E56800"/>
    <w:rsid w:val="00E56C32"/>
    <w:rsid w:val="00E576B9"/>
    <w:rsid w:val="00E57F90"/>
    <w:rsid w:val="00E60876"/>
    <w:rsid w:val="00E61951"/>
    <w:rsid w:val="00E61C54"/>
    <w:rsid w:val="00E62FF9"/>
    <w:rsid w:val="00E63536"/>
    <w:rsid w:val="00E635D6"/>
    <w:rsid w:val="00E639BC"/>
    <w:rsid w:val="00E642A5"/>
    <w:rsid w:val="00E64419"/>
    <w:rsid w:val="00E65310"/>
    <w:rsid w:val="00E664CC"/>
    <w:rsid w:val="00E67301"/>
    <w:rsid w:val="00E70388"/>
    <w:rsid w:val="00E7072E"/>
    <w:rsid w:val="00E70B15"/>
    <w:rsid w:val="00E70F92"/>
    <w:rsid w:val="00E713A5"/>
    <w:rsid w:val="00E7145E"/>
    <w:rsid w:val="00E71503"/>
    <w:rsid w:val="00E71D5F"/>
    <w:rsid w:val="00E736A5"/>
    <w:rsid w:val="00E745D0"/>
    <w:rsid w:val="00E74C54"/>
    <w:rsid w:val="00E75AF0"/>
    <w:rsid w:val="00E75B0E"/>
    <w:rsid w:val="00E766E9"/>
    <w:rsid w:val="00E76AD9"/>
    <w:rsid w:val="00E76C0D"/>
    <w:rsid w:val="00E76D16"/>
    <w:rsid w:val="00E77A03"/>
    <w:rsid w:val="00E77D92"/>
    <w:rsid w:val="00E80467"/>
    <w:rsid w:val="00E80798"/>
    <w:rsid w:val="00E807B6"/>
    <w:rsid w:val="00E8100E"/>
    <w:rsid w:val="00E81D0A"/>
    <w:rsid w:val="00E822E8"/>
    <w:rsid w:val="00E82554"/>
    <w:rsid w:val="00E82606"/>
    <w:rsid w:val="00E8268A"/>
    <w:rsid w:val="00E82871"/>
    <w:rsid w:val="00E82C49"/>
    <w:rsid w:val="00E83E77"/>
    <w:rsid w:val="00E8407C"/>
    <w:rsid w:val="00E846C8"/>
    <w:rsid w:val="00E84957"/>
    <w:rsid w:val="00E84A55"/>
    <w:rsid w:val="00E84B55"/>
    <w:rsid w:val="00E851CA"/>
    <w:rsid w:val="00E85354"/>
    <w:rsid w:val="00E85A6E"/>
    <w:rsid w:val="00E85BFF"/>
    <w:rsid w:val="00E90391"/>
    <w:rsid w:val="00E906C2"/>
    <w:rsid w:val="00E9070B"/>
    <w:rsid w:val="00E911E4"/>
    <w:rsid w:val="00E93061"/>
    <w:rsid w:val="00E9311F"/>
    <w:rsid w:val="00E934D1"/>
    <w:rsid w:val="00E94AF0"/>
    <w:rsid w:val="00E950EC"/>
    <w:rsid w:val="00E954B5"/>
    <w:rsid w:val="00E95A15"/>
    <w:rsid w:val="00E95C64"/>
    <w:rsid w:val="00E95D13"/>
    <w:rsid w:val="00E95DD3"/>
    <w:rsid w:val="00E9604C"/>
    <w:rsid w:val="00E969D5"/>
    <w:rsid w:val="00E96AB9"/>
    <w:rsid w:val="00E97456"/>
    <w:rsid w:val="00E97721"/>
    <w:rsid w:val="00E97985"/>
    <w:rsid w:val="00EA0462"/>
    <w:rsid w:val="00EA131E"/>
    <w:rsid w:val="00EA2500"/>
    <w:rsid w:val="00EA357F"/>
    <w:rsid w:val="00EA5558"/>
    <w:rsid w:val="00EA58D1"/>
    <w:rsid w:val="00EA590B"/>
    <w:rsid w:val="00EA61BC"/>
    <w:rsid w:val="00EA681A"/>
    <w:rsid w:val="00EA6A85"/>
    <w:rsid w:val="00EA6F7D"/>
    <w:rsid w:val="00EA703E"/>
    <w:rsid w:val="00EA735B"/>
    <w:rsid w:val="00EA7771"/>
    <w:rsid w:val="00EA796A"/>
    <w:rsid w:val="00EA7E6E"/>
    <w:rsid w:val="00EB19F3"/>
    <w:rsid w:val="00EB1C02"/>
    <w:rsid w:val="00EB1CD7"/>
    <w:rsid w:val="00EB1E69"/>
    <w:rsid w:val="00EB2086"/>
    <w:rsid w:val="00EB2155"/>
    <w:rsid w:val="00EB33D0"/>
    <w:rsid w:val="00EB3C46"/>
    <w:rsid w:val="00EB4017"/>
    <w:rsid w:val="00EB4C5D"/>
    <w:rsid w:val="00EB5EDF"/>
    <w:rsid w:val="00EB60FE"/>
    <w:rsid w:val="00EB66B5"/>
    <w:rsid w:val="00EB713C"/>
    <w:rsid w:val="00EB74DB"/>
    <w:rsid w:val="00EC092C"/>
    <w:rsid w:val="00EC2353"/>
    <w:rsid w:val="00EC299D"/>
    <w:rsid w:val="00EC29E8"/>
    <w:rsid w:val="00EC4AF1"/>
    <w:rsid w:val="00EC5359"/>
    <w:rsid w:val="00EC562A"/>
    <w:rsid w:val="00EC6407"/>
    <w:rsid w:val="00EC6530"/>
    <w:rsid w:val="00EC67CB"/>
    <w:rsid w:val="00EC6BD2"/>
    <w:rsid w:val="00EC77A2"/>
    <w:rsid w:val="00ED018B"/>
    <w:rsid w:val="00ED067A"/>
    <w:rsid w:val="00ED0A01"/>
    <w:rsid w:val="00ED22D4"/>
    <w:rsid w:val="00ED299E"/>
    <w:rsid w:val="00ED2B0C"/>
    <w:rsid w:val="00ED2B50"/>
    <w:rsid w:val="00ED3196"/>
    <w:rsid w:val="00ED3455"/>
    <w:rsid w:val="00ED6A80"/>
    <w:rsid w:val="00EE0350"/>
    <w:rsid w:val="00EE0719"/>
    <w:rsid w:val="00EE0E80"/>
    <w:rsid w:val="00EE113E"/>
    <w:rsid w:val="00EE1B0C"/>
    <w:rsid w:val="00EE1B44"/>
    <w:rsid w:val="00EE21B4"/>
    <w:rsid w:val="00EE3698"/>
    <w:rsid w:val="00EE3714"/>
    <w:rsid w:val="00EE417A"/>
    <w:rsid w:val="00EE4D39"/>
    <w:rsid w:val="00EE5BBF"/>
    <w:rsid w:val="00EE613F"/>
    <w:rsid w:val="00EE6D1C"/>
    <w:rsid w:val="00EE7149"/>
    <w:rsid w:val="00EE7295"/>
    <w:rsid w:val="00EE731E"/>
    <w:rsid w:val="00EE7440"/>
    <w:rsid w:val="00EE7869"/>
    <w:rsid w:val="00EF01FE"/>
    <w:rsid w:val="00EF054A"/>
    <w:rsid w:val="00EF11DE"/>
    <w:rsid w:val="00EF182E"/>
    <w:rsid w:val="00EF1A14"/>
    <w:rsid w:val="00EF2464"/>
    <w:rsid w:val="00EF2AEE"/>
    <w:rsid w:val="00EF3235"/>
    <w:rsid w:val="00EF39FB"/>
    <w:rsid w:val="00EF3D34"/>
    <w:rsid w:val="00EF3EE4"/>
    <w:rsid w:val="00EF4532"/>
    <w:rsid w:val="00EF48FE"/>
    <w:rsid w:val="00EF4EE6"/>
    <w:rsid w:val="00EF543D"/>
    <w:rsid w:val="00EF5BA2"/>
    <w:rsid w:val="00EF641C"/>
    <w:rsid w:val="00EF6741"/>
    <w:rsid w:val="00EF7E72"/>
    <w:rsid w:val="00F00003"/>
    <w:rsid w:val="00F007A9"/>
    <w:rsid w:val="00F00F46"/>
    <w:rsid w:val="00F010EF"/>
    <w:rsid w:val="00F0140A"/>
    <w:rsid w:val="00F01542"/>
    <w:rsid w:val="00F0168D"/>
    <w:rsid w:val="00F01A35"/>
    <w:rsid w:val="00F01D98"/>
    <w:rsid w:val="00F03315"/>
    <w:rsid w:val="00F03562"/>
    <w:rsid w:val="00F04D99"/>
    <w:rsid w:val="00F05C21"/>
    <w:rsid w:val="00F066F3"/>
    <w:rsid w:val="00F06B86"/>
    <w:rsid w:val="00F06D37"/>
    <w:rsid w:val="00F07661"/>
    <w:rsid w:val="00F077BD"/>
    <w:rsid w:val="00F07981"/>
    <w:rsid w:val="00F07B9D"/>
    <w:rsid w:val="00F10926"/>
    <w:rsid w:val="00F10D4F"/>
    <w:rsid w:val="00F1115F"/>
    <w:rsid w:val="00F11586"/>
    <w:rsid w:val="00F1183B"/>
    <w:rsid w:val="00F11A50"/>
    <w:rsid w:val="00F11C9F"/>
    <w:rsid w:val="00F12263"/>
    <w:rsid w:val="00F126BC"/>
    <w:rsid w:val="00F128FC"/>
    <w:rsid w:val="00F1348B"/>
    <w:rsid w:val="00F1409D"/>
    <w:rsid w:val="00F14214"/>
    <w:rsid w:val="00F148A5"/>
    <w:rsid w:val="00F157A9"/>
    <w:rsid w:val="00F17151"/>
    <w:rsid w:val="00F17905"/>
    <w:rsid w:val="00F17A46"/>
    <w:rsid w:val="00F17ADF"/>
    <w:rsid w:val="00F20148"/>
    <w:rsid w:val="00F2045E"/>
    <w:rsid w:val="00F212D9"/>
    <w:rsid w:val="00F228DC"/>
    <w:rsid w:val="00F22F41"/>
    <w:rsid w:val="00F22F8F"/>
    <w:rsid w:val="00F233BE"/>
    <w:rsid w:val="00F23DD0"/>
    <w:rsid w:val="00F24783"/>
    <w:rsid w:val="00F24FCF"/>
    <w:rsid w:val="00F253D2"/>
    <w:rsid w:val="00F25BB6"/>
    <w:rsid w:val="00F263F6"/>
    <w:rsid w:val="00F26B7E"/>
    <w:rsid w:val="00F26E8D"/>
    <w:rsid w:val="00F27367"/>
    <w:rsid w:val="00F2766A"/>
    <w:rsid w:val="00F27A3B"/>
    <w:rsid w:val="00F27A75"/>
    <w:rsid w:val="00F3326D"/>
    <w:rsid w:val="00F335AE"/>
    <w:rsid w:val="00F33817"/>
    <w:rsid w:val="00F34324"/>
    <w:rsid w:val="00F3447F"/>
    <w:rsid w:val="00F34F7C"/>
    <w:rsid w:val="00F360B2"/>
    <w:rsid w:val="00F36737"/>
    <w:rsid w:val="00F36D63"/>
    <w:rsid w:val="00F374F8"/>
    <w:rsid w:val="00F415C1"/>
    <w:rsid w:val="00F420D5"/>
    <w:rsid w:val="00F42C50"/>
    <w:rsid w:val="00F4337E"/>
    <w:rsid w:val="00F444F2"/>
    <w:rsid w:val="00F451EA"/>
    <w:rsid w:val="00F45447"/>
    <w:rsid w:val="00F456C6"/>
    <w:rsid w:val="00F4577B"/>
    <w:rsid w:val="00F45C95"/>
    <w:rsid w:val="00F46496"/>
    <w:rsid w:val="00F47296"/>
    <w:rsid w:val="00F47359"/>
    <w:rsid w:val="00F474D0"/>
    <w:rsid w:val="00F50179"/>
    <w:rsid w:val="00F506D5"/>
    <w:rsid w:val="00F50C74"/>
    <w:rsid w:val="00F52B4D"/>
    <w:rsid w:val="00F53140"/>
    <w:rsid w:val="00F5381C"/>
    <w:rsid w:val="00F540D4"/>
    <w:rsid w:val="00F54338"/>
    <w:rsid w:val="00F54D13"/>
    <w:rsid w:val="00F55339"/>
    <w:rsid w:val="00F554E8"/>
    <w:rsid w:val="00F558BD"/>
    <w:rsid w:val="00F55DD0"/>
    <w:rsid w:val="00F56511"/>
    <w:rsid w:val="00F56612"/>
    <w:rsid w:val="00F56782"/>
    <w:rsid w:val="00F568F4"/>
    <w:rsid w:val="00F56CDC"/>
    <w:rsid w:val="00F574CE"/>
    <w:rsid w:val="00F57918"/>
    <w:rsid w:val="00F57CAC"/>
    <w:rsid w:val="00F601EB"/>
    <w:rsid w:val="00F61902"/>
    <w:rsid w:val="00F6194E"/>
    <w:rsid w:val="00F61C46"/>
    <w:rsid w:val="00F622A1"/>
    <w:rsid w:val="00F623AC"/>
    <w:rsid w:val="00F624EC"/>
    <w:rsid w:val="00F62687"/>
    <w:rsid w:val="00F62DBA"/>
    <w:rsid w:val="00F6412A"/>
    <w:rsid w:val="00F642C9"/>
    <w:rsid w:val="00F65458"/>
    <w:rsid w:val="00F65893"/>
    <w:rsid w:val="00F66A4A"/>
    <w:rsid w:val="00F67541"/>
    <w:rsid w:val="00F6778F"/>
    <w:rsid w:val="00F678CD"/>
    <w:rsid w:val="00F67C8D"/>
    <w:rsid w:val="00F70779"/>
    <w:rsid w:val="00F713B3"/>
    <w:rsid w:val="00F71E22"/>
    <w:rsid w:val="00F72142"/>
    <w:rsid w:val="00F72353"/>
    <w:rsid w:val="00F72AE7"/>
    <w:rsid w:val="00F75642"/>
    <w:rsid w:val="00F76D4F"/>
    <w:rsid w:val="00F7773D"/>
    <w:rsid w:val="00F778CB"/>
    <w:rsid w:val="00F77A5C"/>
    <w:rsid w:val="00F77D98"/>
    <w:rsid w:val="00F80FFA"/>
    <w:rsid w:val="00F825AA"/>
    <w:rsid w:val="00F833BA"/>
    <w:rsid w:val="00F83514"/>
    <w:rsid w:val="00F8399F"/>
    <w:rsid w:val="00F84177"/>
    <w:rsid w:val="00F84FD0"/>
    <w:rsid w:val="00F859A8"/>
    <w:rsid w:val="00F865C1"/>
    <w:rsid w:val="00F8684F"/>
    <w:rsid w:val="00F874CB"/>
    <w:rsid w:val="00F9108B"/>
    <w:rsid w:val="00F91349"/>
    <w:rsid w:val="00F91AF8"/>
    <w:rsid w:val="00F91B89"/>
    <w:rsid w:val="00F92D0A"/>
    <w:rsid w:val="00F9317B"/>
    <w:rsid w:val="00F93A8A"/>
    <w:rsid w:val="00F94F20"/>
    <w:rsid w:val="00F95248"/>
    <w:rsid w:val="00F95374"/>
    <w:rsid w:val="00F956A9"/>
    <w:rsid w:val="00F963ED"/>
    <w:rsid w:val="00F966AB"/>
    <w:rsid w:val="00F966CF"/>
    <w:rsid w:val="00F96CAE"/>
    <w:rsid w:val="00F972B4"/>
    <w:rsid w:val="00F97847"/>
    <w:rsid w:val="00F97C99"/>
    <w:rsid w:val="00FA0660"/>
    <w:rsid w:val="00FA19DD"/>
    <w:rsid w:val="00FA1A90"/>
    <w:rsid w:val="00FA1B59"/>
    <w:rsid w:val="00FA215F"/>
    <w:rsid w:val="00FA29D3"/>
    <w:rsid w:val="00FA2C05"/>
    <w:rsid w:val="00FA32D5"/>
    <w:rsid w:val="00FA3BE5"/>
    <w:rsid w:val="00FA3F5E"/>
    <w:rsid w:val="00FA4354"/>
    <w:rsid w:val="00FA5956"/>
    <w:rsid w:val="00FA5C66"/>
    <w:rsid w:val="00FA662D"/>
    <w:rsid w:val="00FA6730"/>
    <w:rsid w:val="00FA69EF"/>
    <w:rsid w:val="00FA73B1"/>
    <w:rsid w:val="00FB00ED"/>
    <w:rsid w:val="00FB0CB9"/>
    <w:rsid w:val="00FB19F7"/>
    <w:rsid w:val="00FB2188"/>
    <w:rsid w:val="00FB3467"/>
    <w:rsid w:val="00FB36C9"/>
    <w:rsid w:val="00FB3C51"/>
    <w:rsid w:val="00FB45F1"/>
    <w:rsid w:val="00FB4A72"/>
    <w:rsid w:val="00FB4CDD"/>
    <w:rsid w:val="00FB50F6"/>
    <w:rsid w:val="00FB5465"/>
    <w:rsid w:val="00FB54E8"/>
    <w:rsid w:val="00FB5BDD"/>
    <w:rsid w:val="00FB7054"/>
    <w:rsid w:val="00FB720E"/>
    <w:rsid w:val="00FB7D43"/>
    <w:rsid w:val="00FC17B7"/>
    <w:rsid w:val="00FC1ACB"/>
    <w:rsid w:val="00FC1D25"/>
    <w:rsid w:val="00FC2823"/>
    <w:rsid w:val="00FC2CB7"/>
    <w:rsid w:val="00FC4090"/>
    <w:rsid w:val="00FC4908"/>
    <w:rsid w:val="00FC492B"/>
    <w:rsid w:val="00FC4C02"/>
    <w:rsid w:val="00FC4C09"/>
    <w:rsid w:val="00FC4D2F"/>
    <w:rsid w:val="00FC4F3B"/>
    <w:rsid w:val="00FC55B4"/>
    <w:rsid w:val="00FC5CE8"/>
    <w:rsid w:val="00FC63F1"/>
    <w:rsid w:val="00FC6665"/>
    <w:rsid w:val="00FC7092"/>
    <w:rsid w:val="00FC726C"/>
    <w:rsid w:val="00FC733D"/>
    <w:rsid w:val="00FC7B43"/>
    <w:rsid w:val="00FD00E6"/>
    <w:rsid w:val="00FD050D"/>
    <w:rsid w:val="00FD0753"/>
    <w:rsid w:val="00FD09A1"/>
    <w:rsid w:val="00FD0B39"/>
    <w:rsid w:val="00FD1346"/>
    <w:rsid w:val="00FD16C7"/>
    <w:rsid w:val="00FD1BC0"/>
    <w:rsid w:val="00FD2744"/>
    <w:rsid w:val="00FD2A7C"/>
    <w:rsid w:val="00FD32A7"/>
    <w:rsid w:val="00FD33D4"/>
    <w:rsid w:val="00FD3EE0"/>
    <w:rsid w:val="00FD4D7D"/>
    <w:rsid w:val="00FD5776"/>
    <w:rsid w:val="00FD59EB"/>
    <w:rsid w:val="00FD70C5"/>
    <w:rsid w:val="00FD7146"/>
    <w:rsid w:val="00FD7299"/>
    <w:rsid w:val="00FD76EA"/>
    <w:rsid w:val="00FE06BB"/>
    <w:rsid w:val="00FE0BC5"/>
    <w:rsid w:val="00FE1FBE"/>
    <w:rsid w:val="00FE2313"/>
    <w:rsid w:val="00FE33CF"/>
    <w:rsid w:val="00FE3901"/>
    <w:rsid w:val="00FE39D3"/>
    <w:rsid w:val="00FE3DFF"/>
    <w:rsid w:val="00FE44F8"/>
    <w:rsid w:val="00FE4A01"/>
    <w:rsid w:val="00FE4BCE"/>
    <w:rsid w:val="00FE4F62"/>
    <w:rsid w:val="00FE54AE"/>
    <w:rsid w:val="00FE576A"/>
    <w:rsid w:val="00FE64D4"/>
    <w:rsid w:val="00FE7E79"/>
    <w:rsid w:val="00FF01C5"/>
    <w:rsid w:val="00FF0409"/>
    <w:rsid w:val="00FF0746"/>
    <w:rsid w:val="00FF1FD8"/>
    <w:rsid w:val="00FF27E5"/>
    <w:rsid w:val="00FF3878"/>
    <w:rsid w:val="00FF3B3F"/>
    <w:rsid w:val="00FF3E7D"/>
    <w:rsid w:val="00FF5267"/>
    <w:rsid w:val="00FF58B9"/>
    <w:rsid w:val="00FF5B99"/>
    <w:rsid w:val="00FF6FFB"/>
    <w:rsid w:val="00FF730C"/>
    <w:rsid w:val="00FF73F4"/>
    <w:rsid w:val="00FF7CE4"/>
    <w:rsid w:val="00FF7E39"/>
    <w:rsid w:val="01101E68"/>
    <w:rsid w:val="011253ED"/>
    <w:rsid w:val="0127533C"/>
    <w:rsid w:val="0130677E"/>
    <w:rsid w:val="01565F5E"/>
    <w:rsid w:val="018E0E0A"/>
    <w:rsid w:val="02A64ED3"/>
    <w:rsid w:val="02F32FFC"/>
    <w:rsid w:val="02F54FC6"/>
    <w:rsid w:val="03262688"/>
    <w:rsid w:val="032A5F2F"/>
    <w:rsid w:val="033602C7"/>
    <w:rsid w:val="038F2958"/>
    <w:rsid w:val="03E94B2B"/>
    <w:rsid w:val="04054C78"/>
    <w:rsid w:val="0420666F"/>
    <w:rsid w:val="04405650"/>
    <w:rsid w:val="046D041E"/>
    <w:rsid w:val="04753FA9"/>
    <w:rsid w:val="04A929C1"/>
    <w:rsid w:val="04F25C61"/>
    <w:rsid w:val="055A7222"/>
    <w:rsid w:val="056874C6"/>
    <w:rsid w:val="05E978BE"/>
    <w:rsid w:val="061B10A6"/>
    <w:rsid w:val="061B2F96"/>
    <w:rsid w:val="06AA1884"/>
    <w:rsid w:val="06C40F0D"/>
    <w:rsid w:val="06F04422"/>
    <w:rsid w:val="072C1997"/>
    <w:rsid w:val="07391925"/>
    <w:rsid w:val="076D7821"/>
    <w:rsid w:val="07A47D1B"/>
    <w:rsid w:val="07A66F04"/>
    <w:rsid w:val="07D07D6B"/>
    <w:rsid w:val="07E506B6"/>
    <w:rsid w:val="07F97307"/>
    <w:rsid w:val="08144141"/>
    <w:rsid w:val="083247BC"/>
    <w:rsid w:val="083707C4"/>
    <w:rsid w:val="087C55C4"/>
    <w:rsid w:val="088B47B5"/>
    <w:rsid w:val="08BD2817"/>
    <w:rsid w:val="08C1759F"/>
    <w:rsid w:val="08D72A91"/>
    <w:rsid w:val="08D8516E"/>
    <w:rsid w:val="091C32AD"/>
    <w:rsid w:val="09465634"/>
    <w:rsid w:val="094E5430"/>
    <w:rsid w:val="09DB6188"/>
    <w:rsid w:val="0A51179B"/>
    <w:rsid w:val="0A7669ED"/>
    <w:rsid w:val="0B275F39"/>
    <w:rsid w:val="0BA86FFA"/>
    <w:rsid w:val="0BBC3C09"/>
    <w:rsid w:val="0C16356B"/>
    <w:rsid w:val="0C1754B3"/>
    <w:rsid w:val="0C2F779B"/>
    <w:rsid w:val="0C362CB0"/>
    <w:rsid w:val="0C364685"/>
    <w:rsid w:val="0D147266"/>
    <w:rsid w:val="0DF06AB6"/>
    <w:rsid w:val="0E0030E0"/>
    <w:rsid w:val="0E1053AA"/>
    <w:rsid w:val="0E1A3B33"/>
    <w:rsid w:val="0E4D04CC"/>
    <w:rsid w:val="0E8B4F8E"/>
    <w:rsid w:val="0EAE6089"/>
    <w:rsid w:val="0ECF2B6F"/>
    <w:rsid w:val="0ED02F14"/>
    <w:rsid w:val="0EEF6D6E"/>
    <w:rsid w:val="0F20071C"/>
    <w:rsid w:val="0F59068B"/>
    <w:rsid w:val="0F606E8A"/>
    <w:rsid w:val="0FA77648"/>
    <w:rsid w:val="102E6E98"/>
    <w:rsid w:val="104B0241"/>
    <w:rsid w:val="10564652"/>
    <w:rsid w:val="10C25773"/>
    <w:rsid w:val="114209D6"/>
    <w:rsid w:val="115E2631"/>
    <w:rsid w:val="117F6F84"/>
    <w:rsid w:val="118C418F"/>
    <w:rsid w:val="119B18B2"/>
    <w:rsid w:val="11C7675F"/>
    <w:rsid w:val="11CD3799"/>
    <w:rsid w:val="11D230A2"/>
    <w:rsid w:val="11DF30C9"/>
    <w:rsid w:val="120F5BA7"/>
    <w:rsid w:val="12274A70"/>
    <w:rsid w:val="1240437D"/>
    <w:rsid w:val="128819B3"/>
    <w:rsid w:val="12AB33EF"/>
    <w:rsid w:val="12E63B24"/>
    <w:rsid w:val="1305137A"/>
    <w:rsid w:val="13307F9A"/>
    <w:rsid w:val="136A10B9"/>
    <w:rsid w:val="13F16A4B"/>
    <w:rsid w:val="14005579"/>
    <w:rsid w:val="140C06EB"/>
    <w:rsid w:val="149B034A"/>
    <w:rsid w:val="14EC647A"/>
    <w:rsid w:val="15334C85"/>
    <w:rsid w:val="15666ECD"/>
    <w:rsid w:val="15CD16BF"/>
    <w:rsid w:val="15DE6668"/>
    <w:rsid w:val="163C3F6E"/>
    <w:rsid w:val="1640666E"/>
    <w:rsid w:val="16472EFA"/>
    <w:rsid w:val="16914599"/>
    <w:rsid w:val="169350B7"/>
    <w:rsid w:val="16AC3E4B"/>
    <w:rsid w:val="173B6FF4"/>
    <w:rsid w:val="17877C80"/>
    <w:rsid w:val="17A87872"/>
    <w:rsid w:val="17B72C48"/>
    <w:rsid w:val="1844012A"/>
    <w:rsid w:val="1848145C"/>
    <w:rsid w:val="18C73A77"/>
    <w:rsid w:val="18D271F5"/>
    <w:rsid w:val="18D8576E"/>
    <w:rsid w:val="18DE54A2"/>
    <w:rsid w:val="19037FE5"/>
    <w:rsid w:val="194A79C2"/>
    <w:rsid w:val="19742C91"/>
    <w:rsid w:val="197B7B7C"/>
    <w:rsid w:val="19C239FC"/>
    <w:rsid w:val="1A134258"/>
    <w:rsid w:val="1A900722"/>
    <w:rsid w:val="1B0D514B"/>
    <w:rsid w:val="1B226F75"/>
    <w:rsid w:val="1B55049A"/>
    <w:rsid w:val="1BC51582"/>
    <w:rsid w:val="1CAC6E33"/>
    <w:rsid w:val="1CDC3027"/>
    <w:rsid w:val="1D156539"/>
    <w:rsid w:val="1D1A76AB"/>
    <w:rsid w:val="1D493D82"/>
    <w:rsid w:val="1D4A4435"/>
    <w:rsid w:val="1D676B8C"/>
    <w:rsid w:val="1D9A65EB"/>
    <w:rsid w:val="1E0839A8"/>
    <w:rsid w:val="1E6A6BA1"/>
    <w:rsid w:val="1E8F3ACE"/>
    <w:rsid w:val="1E8F565E"/>
    <w:rsid w:val="1ED57D2E"/>
    <w:rsid w:val="1F083A83"/>
    <w:rsid w:val="1F5E41C7"/>
    <w:rsid w:val="1F6B32B7"/>
    <w:rsid w:val="1FAC53B9"/>
    <w:rsid w:val="1FB848F7"/>
    <w:rsid w:val="20386F94"/>
    <w:rsid w:val="204A64FA"/>
    <w:rsid w:val="209634ED"/>
    <w:rsid w:val="209B6D55"/>
    <w:rsid w:val="20DA1129"/>
    <w:rsid w:val="211C0D9A"/>
    <w:rsid w:val="21A810FD"/>
    <w:rsid w:val="21DF154B"/>
    <w:rsid w:val="21E3381E"/>
    <w:rsid w:val="21E96290"/>
    <w:rsid w:val="222C0AFC"/>
    <w:rsid w:val="22585F6A"/>
    <w:rsid w:val="23204D36"/>
    <w:rsid w:val="234763BD"/>
    <w:rsid w:val="236E69A3"/>
    <w:rsid w:val="23A75A11"/>
    <w:rsid w:val="23BB5F16"/>
    <w:rsid w:val="23D04F68"/>
    <w:rsid w:val="240951B5"/>
    <w:rsid w:val="24443600"/>
    <w:rsid w:val="24C705E1"/>
    <w:rsid w:val="24EE2881"/>
    <w:rsid w:val="250111C9"/>
    <w:rsid w:val="250D59BB"/>
    <w:rsid w:val="25C24D84"/>
    <w:rsid w:val="26055B84"/>
    <w:rsid w:val="262E234F"/>
    <w:rsid w:val="264C1C5C"/>
    <w:rsid w:val="26946721"/>
    <w:rsid w:val="269B185D"/>
    <w:rsid w:val="269C3827"/>
    <w:rsid w:val="26C8461C"/>
    <w:rsid w:val="26F23447"/>
    <w:rsid w:val="27117D71"/>
    <w:rsid w:val="27167136"/>
    <w:rsid w:val="275B723E"/>
    <w:rsid w:val="27695245"/>
    <w:rsid w:val="27EF27AC"/>
    <w:rsid w:val="27FC7D0D"/>
    <w:rsid w:val="2815563F"/>
    <w:rsid w:val="28494703"/>
    <w:rsid w:val="287C121A"/>
    <w:rsid w:val="288D6667"/>
    <w:rsid w:val="28D12F61"/>
    <w:rsid w:val="298011DE"/>
    <w:rsid w:val="29E4176D"/>
    <w:rsid w:val="2A033534"/>
    <w:rsid w:val="2A1B0A25"/>
    <w:rsid w:val="2A261D85"/>
    <w:rsid w:val="2A263B34"/>
    <w:rsid w:val="2A7A5C2D"/>
    <w:rsid w:val="2ADB20DA"/>
    <w:rsid w:val="2B285689"/>
    <w:rsid w:val="2B4104F9"/>
    <w:rsid w:val="2B451FEE"/>
    <w:rsid w:val="2BCE11D1"/>
    <w:rsid w:val="2C322253"/>
    <w:rsid w:val="2C9A681A"/>
    <w:rsid w:val="2CD625E7"/>
    <w:rsid w:val="2D5149BF"/>
    <w:rsid w:val="2D5F2735"/>
    <w:rsid w:val="2D6D5012"/>
    <w:rsid w:val="2D7B7CF2"/>
    <w:rsid w:val="2D937732"/>
    <w:rsid w:val="2DC23B73"/>
    <w:rsid w:val="2DCC7169"/>
    <w:rsid w:val="2E352597"/>
    <w:rsid w:val="2E5614D1"/>
    <w:rsid w:val="2E732342"/>
    <w:rsid w:val="2E82657F"/>
    <w:rsid w:val="2EC0476E"/>
    <w:rsid w:val="2EC310A2"/>
    <w:rsid w:val="2EDB6981"/>
    <w:rsid w:val="2F067A90"/>
    <w:rsid w:val="2F131F39"/>
    <w:rsid w:val="2F7A5890"/>
    <w:rsid w:val="2FD27B76"/>
    <w:rsid w:val="2FEA1763"/>
    <w:rsid w:val="30656A38"/>
    <w:rsid w:val="30662EDC"/>
    <w:rsid w:val="3082336E"/>
    <w:rsid w:val="30A734F4"/>
    <w:rsid w:val="30CC6AB7"/>
    <w:rsid w:val="311F752F"/>
    <w:rsid w:val="312B1A2F"/>
    <w:rsid w:val="317909ED"/>
    <w:rsid w:val="320E1553"/>
    <w:rsid w:val="320F619D"/>
    <w:rsid w:val="32967636"/>
    <w:rsid w:val="32970BD8"/>
    <w:rsid w:val="32AC3044"/>
    <w:rsid w:val="331C7AC7"/>
    <w:rsid w:val="339F78C8"/>
    <w:rsid w:val="33B757D9"/>
    <w:rsid w:val="34512084"/>
    <w:rsid w:val="350117EB"/>
    <w:rsid w:val="3522139B"/>
    <w:rsid w:val="352E7D40"/>
    <w:rsid w:val="353119FE"/>
    <w:rsid w:val="35325A82"/>
    <w:rsid w:val="356419B4"/>
    <w:rsid w:val="35696FCA"/>
    <w:rsid w:val="357A4D33"/>
    <w:rsid w:val="35DC05AE"/>
    <w:rsid w:val="35E86141"/>
    <w:rsid w:val="35E955C8"/>
    <w:rsid w:val="36052E9C"/>
    <w:rsid w:val="36853990"/>
    <w:rsid w:val="36A83953"/>
    <w:rsid w:val="37720C81"/>
    <w:rsid w:val="377C1237"/>
    <w:rsid w:val="37C70011"/>
    <w:rsid w:val="38156F95"/>
    <w:rsid w:val="38204CC7"/>
    <w:rsid w:val="382947EF"/>
    <w:rsid w:val="387B0893"/>
    <w:rsid w:val="3894435E"/>
    <w:rsid w:val="38966328"/>
    <w:rsid w:val="38BE692A"/>
    <w:rsid w:val="38C73400"/>
    <w:rsid w:val="38C945F7"/>
    <w:rsid w:val="38E82C1D"/>
    <w:rsid w:val="390B53AD"/>
    <w:rsid w:val="394A2849"/>
    <w:rsid w:val="395B30CE"/>
    <w:rsid w:val="39C83CC5"/>
    <w:rsid w:val="39CD7B28"/>
    <w:rsid w:val="39D679A3"/>
    <w:rsid w:val="39D84C94"/>
    <w:rsid w:val="3A044809"/>
    <w:rsid w:val="3A287454"/>
    <w:rsid w:val="3A316036"/>
    <w:rsid w:val="3A50781C"/>
    <w:rsid w:val="3A6F0BDF"/>
    <w:rsid w:val="3A8C5C87"/>
    <w:rsid w:val="3A9C399E"/>
    <w:rsid w:val="3AA218CC"/>
    <w:rsid w:val="3AB16704"/>
    <w:rsid w:val="3ACE28D0"/>
    <w:rsid w:val="3B3F2B8A"/>
    <w:rsid w:val="3B467F1F"/>
    <w:rsid w:val="3B491430"/>
    <w:rsid w:val="3B5A363D"/>
    <w:rsid w:val="3BA26D92"/>
    <w:rsid w:val="3BCC3E0F"/>
    <w:rsid w:val="3C6D114E"/>
    <w:rsid w:val="3CAB32C6"/>
    <w:rsid w:val="3CBE512C"/>
    <w:rsid w:val="3CDA4850"/>
    <w:rsid w:val="3D8D47EC"/>
    <w:rsid w:val="3DAD28A5"/>
    <w:rsid w:val="3DC92CFC"/>
    <w:rsid w:val="3E423B9A"/>
    <w:rsid w:val="3E950E30"/>
    <w:rsid w:val="3E9D7A57"/>
    <w:rsid w:val="3EBC63BD"/>
    <w:rsid w:val="3EDB0BA9"/>
    <w:rsid w:val="3F2A1578"/>
    <w:rsid w:val="3F676329"/>
    <w:rsid w:val="3FB11C9A"/>
    <w:rsid w:val="4004259C"/>
    <w:rsid w:val="402145F5"/>
    <w:rsid w:val="40347BF3"/>
    <w:rsid w:val="403F2228"/>
    <w:rsid w:val="407A6419"/>
    <w:rsid w:val="40B57568"/>
    <w:rsid w:val="40BF16BE"/>
    <w:rsid w:val="413F41C6"/>
    <w:rsid w:val="414A5F02"/>
    <w:rsid w:val="414C3A28"/>
    <w:rsid w:val="4156355C"/>
    <w:rsid w:val="41D0648A"/>
    <w:rsid w:val="422C568A"/>
    <w:rsid w:val="42B2092F"/>
    <w:rsid w:val="43340C18"/>
    <w:rsid w:val="4334673F"/>
    <w:rsid w:val="43391776"/>
    <w:rsid w:val="436E35C0"/>
    <w:rsid w:val="437C5B5F"/>
    <w:rsid w:val="4388766D"/>
    <w:rsid w:val="43B43B06"/>
    <w:rsid w:val="43B65AD0"/>
    <w:rsid w:val="43DA4FF7"/>
    <w:rsid w:val="43F10E21"/>
    <w:rsid w:val="4476700E"/>
    <w:rsid w:val="448E07FB"/>
    <w:rsid w:val="44BA339E"/>
    <w:rsid w:val="455B1301"/>
    <w:rsid w:val="457744CB"/>
    <w:rsid w:val="45806C24"/>
    <w:rsid w:val="45821B2F"/>
    <w:rsid w:val="45A349DB"/>
    <w:rsid w:val="45C41ED1"/>
    <w:rsid w:val="45C84171"/>
    <w:rsid w:val="45F41F7F"/>
    <w:rsid w:val="460F14C8"/>
    <w:rsid w:val="46527839"/>
    <w:rsid w:val="46CC4734"/>
    <w:rsid w:val="46F6158D"/>
    <w:rsid w:val="47C95AEB"/>
    <w:rsid w:val="480B5EA5"/>
    <w:rsid w:val="480B67DC"/>
    <w:rsid w:val="485C65D0"/>
    <w:rsid w:val="485D476D"/>
    <w:rsid w:val="486C2C02"/>
    <w:rsid w:val="497C0C22"/>
    <w:rsid w:val="49A634AC"/>
    <w:rsid w:val="49F15029"/>
    <w:rsid w:val="4A725176"/>
    <w:rsid w:val="4A767D68"/>
    <w:rsid w:val="4B4D283A"/>
    <w:rsid w:val="4B517E8D"/>
    <w:rsid w:val="4B6B53F2"/>
    <w:rsid w:val="4BA32DDE"/>
    <w:rsid w:val="4BC34278"/>
    <w:rsid w:val="4BEA4569"/>
    <w:rsid w:val="4BEB7A84"/>
    <w:rsid w:val="4C1D392E"/>
    <w:rsid w:val="4C7D281A"/>
    <w:rsid w:val="4C95594A"/>
    <w:rsid w:val="4C9A0BEE"/>
    <w:rsid w:val="4CCA7EF7"/>
    <w:rsid w:val="4CD82614"/>
    <w:rsid w:val="4D026F9B"/>
    <w:rsid w:val="4D284678"/>
    <w:rsid w:val="4D3A6D00"/>
    <w:rsid w:val="4D962043"/>
    <w:rsid w:val="4E035DB6"/>
    <w:rsid w:val="4ECD3AA4"/>
    <w:rsid w:val="4F145FE1"/>
    <w:rsid w:val="4F6208BA"/>
    <w:rsid w:val="4F9A30D0"/>
    <w:rsid w:val="4F9A7840"/>
    <w:rsid w:val="4FA679B9"/>
    <w:rsid w:val="4FAE3B00"/>
    <w:rsid w:val="4FDA48F5"/>
    <w:rsid w:val="4FDE3241"/>
    <w:rsid w:val="4FED16FA"/>
    <w:rsid w:val="4FFF25AD"/>
    <w:rsid w:val="504F0E3F"/>
    <w:rsid w:val="50CE34EB"/>
    <w:rsid w:val="528654C3"/>
    <w:rsid w:val="529308D2"/>
    <w:rsid w:val="52D7511B"/>
    <w:rsid w:val="52FB52AE"/>
    <w:rsid w:val="53486019"/>
    <w:rsid w:val="5362532D"/>
    <w:rsid w:val="536A3247"/>
    <w:rsid w:val="53805FAD"/>
    <w:rsid w:val="53863509"/>
    <w:rsid w:val="53CB1124"/>
    <w:rsid w:val="53F87A3F"/>
    <w:rsid w:val="541D3002"/>
    <w:rsid w:val="548117E3"/>
    <w:rsid w:val="54A14144"/>
    <w:rsid w:val="54A656ED"/>
    <w:rsid w:val="54B81796"/>
    <w:rsid w:val="54F57FAF"/>
    <w:rsid w:val="5541396D"/>
    <w:rsid w:val="55D16521"/>
    <w:rsid w:val="560E354A"/>
    <w:rsid w:val="56124994"/>
    <w:rsid w:val="565A053D"/>
    <w:rsid w:val="56790573"/>
    <w:rsid w:val="567B188F"/>
    <w:rsid w:val="56842197"/>
    <w:rsid w:val="5689374C"/>
    <w:rsid w:val="569E4046"/>
    <w:rsid w:val="56A21099"/>
    <w:rsid w:val="56DB78D0"/>
    <w:rsid w:val="575B27BF"/>
    <w:rsid w:val="57CD244A"/>
    <w:rsid w:val="57F549C2"/>
    <w:rsid w:val="582F025F"/>
    <w:rsid w:val="58951D01"/>
    <w:rsid w:val="589715D5"/>
    <w:rsid w:val="58AE691E"/>
    <w:rsid w:val="58B201ED"/>
    <w:rsid w:val="58D345D7"/>
    <w:rsid w:val="58FF0D6C"/>
    <w:rsid w:val="59022F76"/>
    <w:rsid w:val="592D782C"/>
    <w:rsid w:val="594A2AEB"/>
    <w:rsid w:val="59594ADC"/>
    <w:rsid w:val="597B2CA5"/>
    <w:rsid w:val="59A2662B"/>
    <w:rsid w:val="59A57D21"/>
    <w:rsid w:val="59DD74BB"/>
    <w:rsid w:val="5A286AC3"/>
    <w:rsid w:val="5A376D05"/>
    <w:rsid w:val="5A6F39C3"/>
    <w:rsid w:val="5A9D28FB"/>
    <w:rsid w:val="5AC02E35"/>
    <w:rsid w:val="5B40376D"/>
    <w:rsid w:val="5B595267"/>
    <w:rsid w:val="5BA74225"/>
    <w:rsid w:val="5BBC75A4"/>
    <w:rsid w:val="5BD60666"/>
    <w:rsid w:val="5C2723A0"/>
    <w:rsid w:val="5C7907C5"/>
    <w:rsid w:val="5C9B540C"/>
    <w:rsid w:val="5CB93C69"/>
    <w:rsid w:val="5CC52489"/>
    <w:rsid w:val="5CDA6966"/>
    <w:rsid w:val="5D0660DC"/>
    <w:rsid w:val="5D0905C7"/>
    <w:rsid w:val="5D235B2D"/>
    <w:rsid w:val="5D2B0770"/>
    <w:rsid w:val="5D2D6D4A"/>
    <w:rsid w:val="5D974FA7"/>
    <w:rsid w:val="5DB91FED"/>
    <w:rsid w:val="5DD44D24"/>
    <w:rsid w:val="5DFC467F"/>
    <w:rsid w:val="5E40270F"/>
    <w:rsid w:val="5EBB3B43"/>
    <w:rsid w:val="5ED86A65"/>
    <w:rsid w:val="5EE70E9E"/>
    <w:rsid w:val="5F4027F5"/>
    <w:rsid w:val="5FAA389C"/>
    <w:rsid w:val="5FFE2671"/>
    <w:rsid w:val="60402FAC"/>
    <w:rsid w:val="60624F04"/>
    <w:rsid w:val="6077401E"/>
    <w:rsid w:val="61462ED4"/>
    <w:rsid w:val="618350AA"/>
    <w:rsid w:val="61A74144"/>
    <w:rsid w:val="61C25023"/>
    <w:rsid w:val="61CB6793"/>
    <w:rsid w:val="61E52095"/>
    <w:rsid w:val="620520BF"/>
    <w:rsid w:val="620677CB"/>
    <w:rsid w:val="621A38B3"/>
    <w:rsid w:val="623460E6"/>
    <w:rsid w:val="62662018"/>
    <w:rsid w:val="628E7997"/>
    <w:rsid w:val="62A74F26"/>
    <w:rsid w:val="62EA0E9B"/>
    <w:rsid w:val="630F26B0"/>
    <w:rsid w:val="63176C3E"/>
    <w:rsid w:val="632665C3"/>
    <w:rsid w:val="6356208C"/>
    <w:rsid w:val="63894210"/>
    <w:rsid w:val="63981174"/>
    <w:rsid w:val="63F65334"/>
    <w:rsid w:val="63F903F0"/>
    <w:rsid w:val="6472739A"/>
    <w:rsid w:val="649328B7"/>
    <w:rsid w:val="64B5564D"/>
    <w:rsid w:val="64BE613B"/>
    <w:rsid w:val="64D4523F"/>
    <w:rsid w:val="64E8140A"/>
    <w:rsid w:val="65493583"/>
    <w:rsid w:val="656766C1"/>
    <w:rsid w:val="6570644A"/>
    <w:rsid w:val="658C5221"/>
    <w:rsid w:val="65C71020"/>
    <w:rsid w:val="65E322FD"/>
    <w:rsid w:val="65FD52FB"/>
    <w:rsid w:val="66091638"/>
    <w:rsid w:val="664E66D3"/>
    <w:rsid w:val="666B40A1"/>
    <w:rsid w:val="6694184A"/>
    <w:rsid w:val="67A555B6"/>
    <w:rsid w:val="67D54611"/>
    <w:rsid w:val="68244D67"/>
    <w:rsid w:val="68DB72BC"/>
    <w:rsid w:val="69C451DF"/>
    <w:rsid w:val="6A6634FD"/>
    <w:rsid w:val="6A722C1D"/>
    <w:rsid w:val="6A7D7742"/>
    <w:rsid w:val="6A816A7F"/>
    <w:rsid w:val="6A8A02B8"/>
    <w:rsid w:val="6BF95CAB"/>
    <w:rsid w:val="6C164AAF"/>
    <w:rsid w:val="6C341CDC"/>
    <w:rsid w:val="6C352226"/>
    <w:rsid w:val="6C364DF4"/>
    <w:rsid w:val="6C3C2767"/>
    <w:rsid w:val="6C6B0957"/>
    <w:rsid w:val="6CA4030D"/>
    <w:rsid w:val="6CD02EB0"/>
    <w:rsid w:val="6CDE737B"/>
    <w:rsid w:val="6D1E7A9D"/>
    <w:rsid w:val="6DDB1B0C"/>
    <w:rsid w:val="6DEC1F6B"/>
    <w:rsid w:val="6E35746E"/>
    <w:rsid w:val="6E362790"/>
    <w:rsid w:val="6E3F02ED"/>
    <w:rsid w:val="6E594E86"/>
    <w:rsid w:val="6E825D78"/>
    <w:rsid w:val="6E9B1CFD"/>
    <w:rsid w:val="6EBF31DC"/>
    <w:rsid w:val="6F0713EB"/>
    <w:rsid w:val="6F1F5D01"/>
    <w:rsid w:val="6F4C09FA"/>
    <w:rsid w:val="6F547DC8"/>
    <w:rsid w:val="7007611E"/>
    <w:rsid w:val="70176C55"/>
    <w:rsid w:val="70587444"/>
    <w:rsid w:val="705F4C76"/>
    <w:rsid w:val="706050D9"/>
    <w:rsid w:val="70975A43"/>
    <w:rsid w:val="70CE4EA1"/>
    <w:rsid w:val="70CE7706"/>
    <w:rsid w:val="70FF3D63"/>
    <w:rsid w:val="71FD4747"/>
    <w:rsid w:val="72AE18C3"/>
    <w:rsid w:val="72BC20E7"/>
    <w:rsid w:val="741C5549"/>
    <w:rsid w:val="74471CA9"/>
    <w:rsid w:val="746E36DA"/>
    <w:rsid w:val="74E474F8"/>
    <w:rsid w:val="74F37E1A"/>
    <w:rsid w:val="7509132F"/>
    <w:rsid w:val="753F1579"/>
    <w:rsid w:val="759E3B4B"/>
    <w:rsid w:val="75B12E6C"/>
    <w:rsid w:val="75C64E50"/>
    <w:rsid w:val="75D243B9"/>
    <w:rsid w:val="75D859FD"/>
    <w:rsid w:val="764010A6"/>
    <w:rsid w:val="76734827"/>
    <w:rsid w:val="76AF20F4"/>
    <w:rsid w:val="76D90BB3"/>
    <w:rsid w:val="77660698"/>
    <w:rsid w:val="77AB402B"/>
    <w:rsid w:val="77BC258A"/>
    <w:rsid w:val="78216CB5"/>
    <w:rsid w:val="78D262EB"/>
    <w:rsid w:val="78DE6B60"/>
    <w:rsid w:val="793A55A6"/>
    <w:rsid w:val="7973709D"/>
    <w:rsid w:val="7A2465E9"/>
    <w:rsid w:val="7B856184"/>
    <w:rsid w:val="7BDA1655"/>
    <w:rsid w:val="7C5E2286"/>
    <w:rsid w:val="7CC40FE0"/>
    <w:rsid w:val="7CC7518F"/>
    <w:rsid w:val="7D2C7C8E"/>
    <w:rsid w:val="7DCA74A7"/>
    <w:rsid w:val="7DEE58DC"/>
    <w:rsid w:val="7E0F220D"/>
    <w:rsid w:val="7E2D3E44"/>
    <w:rsid w:val="7E571BA7"/>
    <w:rsid w:val="7EB0714D"/>
    <w:rsid w:val="7F7C3B08"/>
    <w:rsid w:val="7FA46460"/>
    <w:rsid w:val="7FAC50B6"/>
    <w:rsid w:val="7FD14B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semiHidden="0" w:name="caption"/>
    <w:lsdException w:qFormat="1" w:unhideWhenUsed="0" w:uiPriority="99" w:semiHidden="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pPr>
    <w:rPr>
      <w:rFonts w:ascii="Calibri" w:hAnsi="Calibri" w:eastAsia="宋体" w:cs="Times New Roman"/>
      <w:kern w:val="2"/>
      <w:sz w:val="21"/>
      <w:szCs w:val="21"/>
      <w:lang w:val="en-US" w:eastAsia="zh-CN" w:bidi="ar-SA"/>
    </w:rPr>
  </w:style>
  <w:style w:type="paragraph" w:styleId="2">
    <w:name w:val="heading 1"/>
    <w:basedOn w:val="1"/>
    <w:next w:val="1"/>
    <w:link w:val="4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5"/>
    <w:qFormat/>
    <w:uiPriority w:val="0"/>
    <w:pPr>
      <w:keepNext/>
      <w:keepLines/>
      <w:spacing w:before="260" w:after="260" w:line="416" w:lineRule="auto"/>
      <w:outlineLvl w:val="2"/>
    </w:pPr>
    <w:rPr>
      <w:b/>
      <w:bCs/>
      <w:sz w:val="32"/>
      <w:szCs w:val="32"/>
    </w:rPr>
  </w:style>
  <w:style w:type="paragraph" w:styleId="5">
    <w:name w:val="heading 4"/>
    <w:basedOn w:val="1"/>
    <w:next w:val="1"/>
    <w:link w:val="46"/>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7"/>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8"/>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9"/>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50"/>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51"/>
    <w:qFormat/>
    <w:uiPriority w:val="0"/>
    <w:pPr>
      <w:keepNext/>
      <w:keepLines/>
      <w:adjustRightInd/>
      <w:spacing w:before="240" w:after="64" w:line="320" w:lineRule="auto"/>
      <w:outlineLvl w:val="8"/>
    </w:pPr>
    <w:rPr>
      <w:rFonts w:ascii="Arial" w:hAnsi="Arial" w:eastAsia="黑体"/>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caption"/>
    <w:basedOn w:val="1"/>
    <w:next w:val="1"/>
    <w:unhideWhenUsed/>
    <w:qFormat/>
    <w:uiPriority w:val="0"/>
    <w:rPr>
      <w:rFonts w:ascii="等线 Light" w:hAnsi="等线 Light" w:eastAsia="黑体"/>
      <w:sz w:val="20"/>
      <w:szCs w:val="20"/>
    </w:rPr>
  </w:style>
  <w:style w:type="paragraph" w:styleId="14">
    <w:name w:val="annotation text"/>
    <w:basedOn w:val="1"/>
    <w:link w:val="253"/>
    <w:unhideWhenUsed/>
    <w:qFormat/>
    <w:uiPriority w:val="0"/>
  </w:style>
  <w:style w:type="paragraph" w:styleId="15">
    <w:name w:val="Body Text"/>
    <w:basedOn w:val="1"/>
    <w:link w:val="95"/>
    <w:qFormat/>
    <w:uiPriority w:val="0"/>
    <w:pPr>
      <w:spacing w:after="120"/>
    </w:pPr>
  </w:style>
  <w:style w:type="paragraph" w:styleId="16">
    <w:name w:val="toc 5"/>
    <w:basedOn w:val="1"/>
    <w:next w:val="1"/>
    <w:unhideWhenUsed/>
    <w:qFormat/>
    <w:uiPriority w:val="39"/>
    <w:pPr>
      <w:ind w:left="839"/>
    </w:pPr>
    <w:rPr>
      <w:rFonts w:ascii="宋体"/>
    </w:rPr>
  </w:style>
  <w:style w:type="paragraph" w:styleId="17">
    <w:name w:val="toc 3"/>
    <w:basedOn w:val="1"/>
    <w:next w:val="1"/>
    <w:unhideWhenUsed/>
    <w:qFormat/>
    <w:uiPriority w:val="39"/>
    <w:pPr>
      <w:spacing w:line="300" w:lineRule="exact"/>
      <w:ind w:left="420"/>
    </w:pPr>
    <w:rPr>
      <w:rFonts w:ascii="宋体"/>
    </w:rPr>
  </w:style>
  <w:style w:type="paragraph" w:styleId="18">
    <w:name w:val="Plain Text"/>
    <w:basedOn w:val="1"/>
    <w:link w:val="246"/>
    <w:qFormat/>
    <w:uiPriority w:val="99"/>
    <w:pPr>
      <w:adjustRightInd/>
      <w:spacing w:line="240" w:lineRule="auto"/>
    </w:pPr>
    <w:rPr>
      <w:rFonts w:ascii="宋体" w:hAnsi="Courier New"/>
      <w:szCs w:val="20"/>
    </w:rPr>
  </w:style>
  <w:style w:type="paragraph" w:styleId="19">
    <w:name w:val="toc 8"/>
    <w:basedOn w:val="1"/>
    <w:next w:val="1"/>
    <w:autoRedefine/>
    <w:unhideWhenUsed/>
    <w:qFormat/>
    <w:uiPriority w:val="39"/>
    <w:pPr>
      <w:adjustRightInd/>
      <w:spacing w:after="160" w:line="278" w:lineRule="auto"/>
      <w:ind w:left="2940" w:leftChars="1400"/>
    </w:pPr>
    <w:rPr>
      <w:rFonts w:asciiTheme="minorHAnsi" w:hAnsiTheme="minorHAnsi" w:eastAsiaTheme="minorEastAsia" w:cstheme="minorBidi"/>
      <w:sz w:val="22"/>
      <w:szCs w:val="24"/>
      <w14:ligatures w14:val="standardContextual"/>
    </w:rPr>
  </w:style>
  <w:style w:type="paragraph" w:styleId="20">
    <w:name w:val="Date"/>
    <w:basedOn w:val="1"/>
    <w:next w:val="1"/>
    <w:link w:val="259"/>
    <w:semiHidden/>
    <w:unhideWhenUsed/>
    <w:qFormat/>
    <w:uiPriority w:val="99"/>
    <w:pPr>
      <w:ind w:left="100" w:leftChars="2500"/>
    </w:pPr>
  </w:style>
  <w:style w:type="paragraph" w:styleId="21">
    <w:name w:val="Balloon Text"/>
    <w:basedOn w:val="1"/>
    <w:link w:val="54"/>
    <w:semiHidden/>
    <w:unhideWhenUsed/>
    <w:qFormat/>
    <w:uiPriority w:val="99"/>
    <w:rPr>
      <w:sz w:val="18"/>
      <w:szCs w:val="18"/>
    </w:rPr>
  </w:style>
  <w:style w:type="paragraph" w:styleId="22">
    <w:name w:val="footer"/>
    <w:basedOn w:val="1"/>
    <w:link w:val="53"/>
    <w:qFormat/>
    <w:uiPriority w:val="99"/>
    <w:pPr>
      <w:tabs>
        <w:tab w:val="center" w:pos="4153"/>
        <w:tab w:val="right" w:pos="8306"/>
      </w:tabs>
      <w:adjustRightInd/>
      <w:snapToGrid w:val="0"/>
      <w:spacing w:line="240" w:lineRule="auto"/>
      <w:jc w:val="right"/>
    </w:pPr>
    <w:rPr>
      <w:rFonts w:ascii="宋体"/>
      <w:sz w:val="18"/>
      <w:szCs w:val="18"/>
    </w:rPr>
  </w:style>
  <w:style w:type="paragraph" w:styleId="23">
    <w:name w:val="header"/>
    <w:basedOn w:val="1"/>
    <w:link w:val="52"/>
    <w:qFormat/>
    <w:uiPriority w:val="99"/>
    <w:pPr>
      <w:tabs>
        <w:tab w:val="center" w:pos="4153"/>
        <w:tab w:val="right" w:pos="8306"/>
      </w:tabs>
      <w:adjustRightInd/>
      <w:snapToGrid w:val="0"/>
      <w:jc w:val="center"/>
    </w:pPr>
    <w:rPr>
      <w:sz w:val="18"/>
      <w:szCs w:val="18"/>
    </w:rPr>
  </w:style>
  <w:style w:type="paragraph" w:styleId="24">
    <w:name w:val="toc 1"/>
    <w:basedOn w:val="1"/>
    <w:next w:val="1"/>
    <w:unhideWhenUsed/>
    <w:qFormat/>
    <w:uiPriority w:val="39"/>
    <w:rPr>
      <w:rFonts w:ascii="宋体"/>
    </w:rPr>
  </w:style>
  <w:style w:type="paragraph" w:styleId="25">
    <w:name w:val="toc 4"/>
    <w:basedOn w:val="1"/>
    <w:next w:val="1"/>
    <w:unhideWhenUsed/>
    <w:qFormat/>
    <w:uiPriority w:val="39"/>
    <w:pPr>
      <w:tabs>
        <w:tab w:val="right" w:leader="dot" w:pos="9344"/>
      </w:tabs>
      <w:spacing w:line="300" w:lineRule="exact"/>
      <w:ind w:left="629"/>
    </w:pPr>
    <w:rPr>
      <w:rFonts w:ascii="宋体"/>
    </w:rPr>
  </w:style>
  <w:style w:type="paragraph" w:styleId="26">
    <w:name w:val="footnote text"/>
    <w:basedOn w:val="1"/>
    <w:next w:val="1"/>
    <w:link w:val="108"/>
    <w:semiHidden/>
    <w:qFormat/>
    <w:uiPriority w:val="0"/>
    <w:pPr>
      <w:adjustRightInd/>
      <w:snapToGrid w:val="0"/>
      <w:spacing w:line="300" w:lineRule="exact"/>
      <w:ind w:left="400" w:leftChars="200" w:hanging="200" w:hangingChars="200"/>
    </w:pPr>
    <w:rPr>
      <w:rFonts w:ascii="宋体"/>
      <w:sz w:val="18"/>
      <w:szCs w:val="18"/>
    </w:rPr>
  </w:style>
  <w:style w:type="paragraph" w:styleId="27">
    <w:name w:val="toc 6"/>
    <w:basedOn w:val="1"/>
    <w:next w:val="1"/>
    <w:unhideWhenUsed/>
    <w:qFormat/>
    <w:uiPriority w:val="39"/>
    <w:pPr>
      <w:spacing w:line="300" w:lineRule="exact"/>
      <w:ind w:left="1049"/>
    </w:pPr>
    <w:rPr>
      <w:rFonts w:ascii="宋体"/>
    </w:rPr>
  </w:style>
  <w:style w:type="paragraph" w:styleId="28">
    <w:name w:val="table of figures"/>
    <w:basedOn w:val="1"/>
    <w:next w:val="1"/>
    <w:link w:val="264"/>
    <w:qFormat/>
    <w:uiPriority w:val="99"/>
    <w:pPr>
      <w:adjustRightInd/>
      <w:spacing w:line="240" w:lineRule="auto"/>
    </w:pPr>
    <w:rPr>
      <w:szCs w:val="24"/>
    </w:rPr>
  </w:style>
  <w:style w:type="paragraph" w:styleId="29">
    <w:name w:val="toc 2"/>
    <w:basedOn w:val="1"/>
    <w:next w:val="1"/>
    <w:unhideWhenUsed/>
    <w:qFormat/>
    <w:uiPriority w:val="39"/>
    <w:pPr>
      <w:tabs>
        <w:tab w:val="right" w:leader="dot" w:pos="9344"/>
      </w:tabs>
      <w:spacing w:line="300" w:lineRule="exact"/>
      <w:ind w:left="210"/>
    </w:pPr>
    <w:rPr>
      <w:rFonts w:ascii="宋体"/>
    </w:rPr>
  </w:style>
  <w:style w:type="paragraph" w:styleId="30">
    <w:name w:val="toc 9"/>
    <w:basedOn w:val="1"/>
    <w:next w:val="1"/>
    <w:autoRedefine/>
    <w:unhideWhenUsed/>
    <w:qFormat/>
    <w:uiPriority w:val="39"/>
    <w:pPr>
      <w:adjustRightInd/>
      <w:spacing w:after="160" w:line="278" w:lineRule="auto"/>
      <w:ind w:left="3360" w:leftChars="1600"/>
    </w:pPr>
    <w:rPr>
      <w:rFonts w:asciiTheme="minorHAnsi" w:hAnsiTheme="minorHAnsi" w:eastAsiaTheme="minorEastAsia" w:cstheme="minorBidi"/>
      <w:sz w:val="22"/>
      <w:szCs w:val="24"/>
      <w14:ligatures w14:val="standardContextual"/>
    </w:rPr>
  </w:style>
  <w:style w:type="paragraph" w:styleId="31">
    <w:name w:val="Title"/>
    <w:basedOn w:val="1"/>
    <w:link w:val="57"/>
    <w:qFormat/>
    <w:uiPriority w:val="0"/>
    <w:pPr>
      <w:spacing w:before="240" w:after="60"/>
      <w:jc w:val="center"/>
      <w:outlineLvl w:val="0"/>
    </w:pPr>
    <w:rPr>
      <w:rFonts w:ascii="Arial" w:hAnsi="Arial" w:cs="Arial"/>
      <w:b/>
      <w:bCs/>
      <w:sz w:val="32"/>
      <w:szCs w:val="32"/>
    </w:rPr>
  </w:style>
  <w:style w:type="paragraph" w:styleId="32">
    <w:name w:val="annotation subject"/>
    <w:basedOn w:val="14"/>
    <w:next w:val="14"/>
    <w:link w:val="254"/>
    <w:semiHidden/>
    <w:unhideWhenUsed/>
    <w:qFormat/>
    <w:uiPriority w:val="99"/>
    <w:rPr>
      <w:b/>
      <w:bCs/>
    </w:rPr>
  </w:style>
  <w:style w:type="table" w:styleId="34">
    <w:name w:val="Table Grid"/>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b/>
      <w:bCs/>
    </w:rPr>
  </w:style>
  <w:style w:type="character" w:styleId="37">
    <w:name w:val="page number"/>
    <w:qFormat/>
    <w:uiPriority w:val="0"/>
    <w:rPr>
      <w:rFonts w:ascii="宋体" w:hAnsi="Times New Roman" w:eastAsia="宋体"/>
      <w:sz w:val="18"/>
    </w:rPr>
  </w:style>
  <w:style w:type="character" w:styleId="38">
    <w:name w:val="FollowedHyperlink"/>
    <w:semiHidden/>
    <w:unhideWhenUsed/>
    <w:qFormat/>
    <w:uiPriority w:val="99"/>
    <w:rPr>
      <w:color w:val="954F72"/>
      <w:u w:val="single"/>
    </w:rPr>
  </w:style>
  <w:style w:type="character" w:styleId="39">
    <w:name w:val="Emphasis"/>
    <w:qFormat/>
    <w:uiPriority w:val="20"/>
    <w:rPr>
      <w:i/>
      <w:iCs/>
    </w:rPr>
  </w:style>
  <w:style w:type="character" w:styleId="40">
    <w:name w:val="Hyperlink"/>
    <w:qFormat/>
    <w:uiPriority w:val="99"/>
    <w:rPr>
      <w:rFonts w:ascii="宋体" w:hAnsi="Times New Roman" w:eastAsia="宋体"/>
      <w:color w:val="auto"/>
      <w:spacing w:val="0"/>
      <w:w w:val="100"/>
      <w:position w:val="0"/>
      <w:sz w:val="21"/>
      <w:u w:val="none"/>
      <w:vertAlign w:val="baseline"/>
    </w:rPr>
  </w:style>
  <w:style w:type="character" w:styleId="41">
    <w:name w:val="annotation reference"/>
    <w:semiHidden/>
    <w:unhideWhenUsed/>
    <w:qFormat/>
    <w:uiPriority w:val="99"/>
    <w:rPr>
      <w:sz w:val="21"/>
      <w:szCs w:val="21"/>
    </w:rPr>
  </w:style>
  <w:style w:type="character" w:styleId="42">
    <w:name w:val="footnote reference"/>
    <w:semiHidden/>
    <w:qFormat/>
    <w:uiPriority w:val="0"/>
    <w:rPr>
      <w:rFonts w:ascii="宋体" w:hAnsi="宋体" w:eastAsia="宋体" w:cs="Times New Roman"/>
      <w:spacing w:val="0"/>
      <w:sz w:val="18"/>
      <w:vertAlign w:val="superscript"/>
    </w:rPr>
  </w:style>
  <w:style w:type="character" w:customStyle="1" w:styleId="43">
    <w:name w:val="标题 1 字符"/>
    <w:link w:val="2"/>
    <w:qFormat/>
    <w:uiPriority w:val="0"/>
    <w:rPr>
      <w:rFonts w:ascii="Times New Roman" w:hAnsi="Times New Roman" w:eastAsia="宋体" w:cs="Times New Roman"/>
      <w:b/>
      <w:bCs/>
      <w:kern w:val="44"/>
      <w:sz w:val="44"/>
      <w:szCs w:val="44"/>
    </w:rPr>
  </w:style>
  <w:style w:type="character" w:customStyle="1" w:styleId="44">
    <w:name w:val="标题 2 字符"/>
    <w:link w:val="3"/>
    <w:qFormat/>
    <w:uiPriority w:val="0"/>
    <w:rPr>
      <w:rFonts w:ascii="Arial" w:hAnsi="Arial" w:eastAsia="黑体" w:cs="Times New Roman"/>
      <w:b/>
      <w:bCs/>
      <w:sz w:val="32"/>
      <w:szCs w:val="32"/>
    </w:rPr>
  </w:style>
  <w:style w:type="character" w:customStyle="1" w:styleId="45">
    <w:name w:val="标题 3 字符"/>
    <w:link w:val="4"/>
    <w:qFormat/>
    <w:uiPriority w:val="0"/>
    <w:rPr>
      <w:rFonts w:ascii="Times New Roman" w:hAnsi="Times New Roman" w:eastAsia="宋体" w:cs="Times New Roman"/>
      <w:b/>
      <w:bCs/>
      <w:sz w:val="32"/>
      <w:szCs w:val="32"/>
    </w:rPr>
  </w:style>
  <w:style w:type="character" w:customStyle="1" w:styleId="46">
    <w:name w:val="标题 4 字符"/>
    <w:link w:val="5"/>
    <w:qFormat/>
    <w:uiPriority w:val="0"/>
    <w:rPr>
      <w:rFonts w:ascii="Arial" w:hAnsi="Arial" w:eastAsia="黑体" w:cs="Times New Roman"/>
      <w:b/>
      <w:bCs/>
      <w:sz w:val="28"/>
      <w:szCs w:val="28"/>
    </w:rPr>
  </w:style>
  <w:style w:type="character" w:customStyle="1" w:styleId="47">
    <w:name w:val="标题 5 字符"/>
    <w:link w:val="6"/>
    <w:qFormat/>
    <w:uiPriority w:val="0"/>
    <w:rPr>
      <w:rFonts w:ascii="Times New Roman" w:hAnsi="Times New Roman" w:eastAsia="宋体" w:cs="Times New Roman"/>
      <w:b/>
      <w:bCs/>
      <w:sz w:val="28"/>
      <w:szCs w:val="28"/>
    </w:rPr>
  </w:style>
  <w:style w:type="character" w:customStyle="1" w:styleId="48">
    <w:name w:val="标题 6 字符"/>
    <w:link w:val="7"/>
    <w:qFormat/>
    <w:uiPriority w:val="0"/>
    <w:rPr>
      <w:rFonts w:ascii="Arial" w:hAnsi="Arial" w:eastAsia="黑体" w:cs="Times New Roman"/>
      <w:b/>
      <w:bCs/>
      <w:sz w:val="24"/>
      <w:szCs w:val="24"/>
    </w:rPr>
  </w:style>
  <w:style w:type="character" w:customStyle="1" w:styleId="49">
    <w:name w:val="标题 7 字符"/>
    <w:link w:val="8"/>
    <w:qFormat/>
    <w:uiPriority w:val="0"/>
    <w:rPr>
      <w:rFonts w:ascii="Times New Roman" w:hAnsi="Times New Roman" w:eastAsia="宋体" w:cs="Times New Roman"/>
      <w:b/>
      <w:bCs/>
      <w:sz w:val="24"/>
      <w:szCs w:val="24"/>
    </w:rPr>
  </w:style>
  <w:style w:type="character" w:customStyle="1" w:styleId="50">
    <w:name w:val="标题 8 字符"/>
    <w:link w:val="9"/>
    <w:qFormat/>
    <w:uiPriority w:val="0"/>
    <w:rPr>
      <w:rFonts w:ascii="Arial" w:hAnsi="Arial" w:eastAsia="黑体" w:cs="Times New Roman"/>
      <w:sz w:val="24"/>
      <w:szCs w:val="24"/>
    </w:rPr>
  </w:style>
  <w:style w:type="character" w:customStyle="1" w:styleId="51">
    <w:name w:val="标题 9 字符"/>
    <w:link w:val="10"/>
    <w:qFormat/>
    <w:uiPriority w:val="0"/>
    <w:rPr>
      <w:rFonts w:ascii="Arial" w:hAnsi="Arial" w:eastAsia="黑体" w:cs="Times New Roman"/>
      <w:szCs w:val="21"/>
    </w:rPr>
  </w:style>
  <w:style w:type="character" w:customStyle="1" w:styleId="52">
    <w:name w:val="页眉 字符"/>
    <w:link w:val="23"/>
    <w:qFormat/>
    <w:uiPriority w:val="99"/>
    <w:rPr>
      <w:rFonts w:ascii="Times New Roman" w:hAnsi="Times New Roman" w:eastAsia="宋体" w:cs="Times New Roman"/>
      <w:sz w:val="18"/>
      <w:szCs w:val="18"/>
    </w:rPr>
  </w:style>
  <w:style w:type="character" w:customStyle="1" w:styleId="53">
    <w:name w:val="页脚 字符"/>
    <w:link w:val="22"/>
    <w:qFormat/>
    <w:uiPriority w:val="99"/>
    <w:rPr>
      <w:rFonts w:ascii="宋体" w:hAnsi="Times New Roman" w:eastAsia="宋体" w:cs="Times New Roman"/>
      <w:sz w:val="18"/>
      <w:szCs w:val="18"/>
    </w:rPr>
  </w:style>
  <w:style w:type="character" w:customStyle="1" w:styleId="54">
    <w:name w:val="批注框文本 字符"/>
    <w:link w:val="21"/>
    <w:semiHidden/>
    <w:qFormat/>
    <w:uiPriority w:val="99"/>
    <w:rPr>
      <w:sz w:val="18"/>
      <w:szCs w:val="18"/>
    </w:rPr>
  </w:style>
  <w:style w:type="paragraph" w:styleId="55">
    <w:name w:val="Quote"/>
    <w:basedOn w:val="1"/>
    <w:next w:val="1"/>
    <w:link w:val="56"/>
    <w:qFormat/>
    <w:uiPriority w:val="29"/>
    <w:rPr>
      <w:i/>
      <w:iCs/>
      <w:color w:val="000000"/>
    </w:rPr>
  </w:style>
  <w:style w:type="character" w:customStyle="1" w:styleId="56">
    <w:name w:val="引用 字符"/>
    <w:link w:val="55"/>
    <w:qFormat/>
    <w:uiPriority w:val="29"/>
    <w:rPr>
      <w:i/>
      <w:iCs/>
      <w:color w:val="000000"/>
    </w:rPr>
  </w:style>
  <w:style w:type="character" w:customStyle="1" w:styleId="57">
    <w:name w:val="标题 字符"/>
    <w:link w:val="31"/>
    <w:qFormat/>
    <w:uiPriority w:val="0"/>
    <w:rPr>
      <w:rFonts w:ascii="Arial" w:hAnsi="Arial" w:eastAsia="宋体" w:cs="Arial"/>
      <w:b/>
      <w:bCs/>
      <w:sz w:val="32"/>
      <w:szCs w:val="32"/>
    </w:rPr>
  </w:style>
  <w:style w:type="paragraph" w:customStyle="1" w:styleId="58">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9">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60">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61">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62">
    <w:name w:val="标准书眉一"/>
    <w:qFormat/>
    <w:uiPriority w:val="0"/>
    <w:pPr>
      <w:jc w:val="both"/>
    </w:pPr>
    <w:rPr>
      <w:rFonts w:ascii="Times New Roman" w:hAnsi="Times New Roman" w:eastAsia="宋体" w:cs="Times New Roman"/>
      <w:lang w:val="en-US" w:eastAsia="zh-CN" w:bidi="ar-SA"/>
    </w:rPr>
  </w:style>
  <w:style w:type="paragraph" w:customStyle="1" w:styleId="63">
    <w:name w:val="标准文件_ICS"/>
    <w:basedOn w:val="1"/>
    <w:qFormat/>
    <w:uiPriority w:val="0"/>
    <w:pPr>
      <w:spacing w:line="0" w:lineRule="atLeast"/>
    </w:pPr>
    <w:rPr>
      <w:rFonts w:ascii="黑体" w:hAnsi="宋体" w:eastAsia="黑体"/>
    </w:rPr>
  </w:style>
  <w:style w:type="paragraph" w:customStyle="1" w:styleId="64">
    <w:name w:val="标准文件_标准正文"/>
    <w:basedOn w:val="1"/>
    <w:next w:val="65"/>
    <w:qFormat/>
    <w:uiPriority w:val="0"/>
    <w:pPr>
      <w:snapToGrid w:val="0"/>
      <w:ind w:firstLine="200" w:firstLineChars="200"/>
    </w:pPr>
    <w:rPr>
      <w:kern w:val="0"/>
    </w:rPr>
  </w:style>
  <w:style w:type="paragraph" w:customStyle="1" w:styleId="65">
    <w:name w:val="标准文件_段"/>
    <w:link w:val="19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6">
    <w:name w:val="标准文件_版本"/>
    <w:basedOn w:val="64"/>
    <w:qFormat/>
    <w:uiPriority w:val="0"/>
    <w:pPr>
      <w:adjustRightInd/>
      <w:snapToGrid/>
      <w:ind w:firstLine="0" w:firstLineChars="0"/>
    </w:pPr>
    <w:rPr>
      <w:rFonts w:ascii="宋体" w:hAnsi="宋体"/>
      <w:kern w:val="2"/>
    </w:rPr>
  </w:style>
  <w:style w:type="paragraph" w:customStyle="1" w:styleId="67">
    <w:name w:val="标准文件_标准部门"/>
    <w:basedOn w:val="1"/>
    <w:qFormat/>
    <w:uiPriority w:val="0"/>
    <w:pPr>
      <w:jc w:val="center"/>
    </w:pPr>
    <w:rPr>
      <w:rFonts w:ascii="黑体" w:eastAsia="黑体"/>
      <w:kern w:val="0"/>
      <w:sz w:val="44"/>
    </w:rPr>
  </w:style>
  <w:style w:type="paragraph" w:customStyle="1" w:styleId="68">
    <w:name w:val="标准文件_标准代替"/>
    <w:basedOn w:val="1"/>
    <w:next w:val="1"/>
    <w:qFormat/>
    <w:uiPriority w:val="0"/>
    <w:pPr>
      <w:spacing w:line="310" w:lineRule="exact"/>
      <w:jc w:val="right"/>
    </w:pPr>
    <w:rPr>
      <w:rFonts w:ascii="宋体" w:hAnsi="宋体"/>
      <w:kern w:val="0"/>
    </w:rPr>
  </w:style>
  <w:style w:type="paragraph" w:customStyle="1" w:styleId="69">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70">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71">
    <w:name w:val="标准文件_页眉偶数页"/>
    <w:basedOn w:val="70"/>
    <w:next w:val="1"/>
    <w:qFormat/>
    <w:uiPriority w:val="0"/>
    <w:pPr>
      <w:jc w:val="left"/>
    </w:pPr>
  </w:style>
  <w:style w:type="paragraph" w:customStyle="1" w:styleId="72">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73">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4">
    <w:name w:val="标准文件_二级条标题"/>
    <w:next w:val="65"/>
    <w:link w:val="281"/>
    <w:qFormat/>
    <w:uiPriority w:val="0"/>
    <w:pPr>
      <w:widowControl w:val="0"/>
      <w:spacing w:beforeLines="50" w:afterLines="50"/>
      <w:jc w:val="both"/>
      <w:outlineLvl w:val="2"/>
    </w:pPr>
    <w:rPr>
      <w:rFonts w:ascii="黑体" w:hAnsi="Times New Roman" w:eastAsia="黑体" w:cs="Times New Roman"/>
      <w:sz w:val="21"/>
      <w:lang w:val="en-US" w:eastAsia="zh-CN" w:bidi="ar-SA"/>
    </w:rPr>
  </w:style>
  <w:style w:type="character" w:customStyle="1" w:styleId="75">
    <w:name w:val="标准文件_发布"/>
    <w:qFormat/>
    <w:uiPriority w:val="0"/>
    <w:rPr>
      <w:rFonts w:ascii="黑体" w:eastAsia="黑体"/>
      <w:spacing w:val="0"/>
      <w:w w:val="100"/>
      <w:position w:val="3"/>
      <w:sz w:val="28"/>
    </w:rPr>
  </w:style>
  <w:style w:type="paragraph" w:customStyle="1" w:styleId="76">
    <w:name w:val="标准文件_方框数字列项"/>
    <w:basedOn w:val="65"/>
    <w:qFormat/>
    <w:uiPriority w:val="0"/>
    <w:pPr>
      <w:numPr>
        <w:ilvl w:val="0"/>
        <w:numId w:val="2"/>
      </w:numPr>
      <w:ind w:firstLine="0" w:firstLineChars="0"/>
    </w:pPr>
  </w:style>
  <w:style w:type="paragraph" w:customStyle="1" w:styleId="77">
    <w:name w:val="标准文件_封面标准编号"/>
    <w:basedOn w:val="1"/>
    <w:next w:val="68"/>
    <w:qFormat/>
    <w:uiPriority w:val="0"/>
    <w:pPr>
      <w:spacing w:line="310" w:lineRule="exact"/>
      <w:jc w:val="right"/>
    </w:pPr>
    <w:rPr>
      <w:rFonts w:ascii="黑体" w:eastAsia="黑体"/>
      <w:kern w:val="0"/>
      <w:sz w:val="28"/>
    </w:rPr>
  </w:style>
  <w:style w:type="paragraph" w:customStyle="1" w:styleId="78">
    <w:name w:val="标准文件_封面标准分类号"/>
    <w:basedOn w:val="1"/>
    <w:qFormat/>
    <w:uiPriority w:val="0"/>
    <w:rPr>
      <w:rFonts w:ascii="黑体" w:eastAsia="黑体"/>
      <w:b/>
      <w:kern w:val="0"/>
      <w:sz w:val="28"/>
    </w:rPr>
  </w:style>
  <w:style w:type="paragraph" w:customStyle="1" w:styleId="79">
    <w:name w:val="标准文件_封面标准名称"/>
    <w:basedOn w:val="1"/>
    <w:qFormat/>
    <w:uiPriority w:val="0"/>
    <w:pPr>
      <w:spacing w:line="240" w:lineRule="auto"/>
      <w:jc w:val="center"/>
    </w:pPr>
    <w:rPr>
      <w:rFonts w:ascii="黑体" w:eastAsia="黑体"/>
      <w:kern w:val="0"/>
      <w:sz w:val="52"/>
    </w:rPr>
  </w:style>
  <w:style w:type="paragraph" w:customStyle="1" w:styleId="80">
    <w:name w:val="标准文件_封面标准英文名称"/>
    <w:basedOn w:val="1"/>
    <w:qFormat/>
    <w:uiPriority w:val="0"/>
    <w:pPr>
      <w:spacing w:line="240" w:lineRule="auto"/>
      <w:jc w:val="center"/>
    </w:pPr>
    <w:rPr>
      <w:rFonts w:ascii="黑体" w:eastAsia="黑体"/>
      <w:b/>
      <w:sz w:val="28"/>
    </w:rPr>
  </w:style>
  <w:style w:type="paragraph" w:customStyle="1" w:styleId="81">
    <w:name w:val="标准文件_封面发布日期"/>
    <w:basedOn w:val="1"/>
    <w:qFormat/>
    <w:uiPriority w:val="0"/>
    <w:pPr>
      <w:spacing w:line="310" w:lineRule="exact"/>
    </w:pPr>
    <w:rPr>
      <w:rFonts w:ascii="黑体" w:eastAsia="黑体"/>
      <w:kern w:val="0"/>
      <w:sz w:val="28"/>
    </w:rPr>
  </w:style>
  <w:style w:type="paragraph" w:customStyle="1" w:styleId="82">
    <w:name w:val="标准文件_封面密级"/>
    <w:basedOn w:val="1"/>
    <w:qFormat/>
    <w:uiPriority w:val="0"/>
    <w:rPr>
      <w:rFonts w:eastAsia="黑体"/>
      <w:sz w:val="32"/>
    </w:rPr>
  </w:style>
  <w:style w:type="paragraph" w:customStyle="1" w:styleId="83">
    <w:name w:val="标准文件_封面实施日期"/>
    <w:basedOn w:val="1"/>
    <w:qFormat/>
    <w:uiPriority w:val="0"/>
    <w:pPr>
      <w:spacing w:line="310" w:lineRule="exact"/>
      <w:jc w:val="right"/>
    </w:pPr>
    <w:rPr>
      <w:rFonts w:ascii="黑体" w:eastAsia="黑体"/>
      <w:sz w:val="28"/>
    </w:rPr>
  </w:style>
  <w:style w:type="paragraph" w:customStyle="1" w:styleId="84">
    <w:name w:val="标准文件_封面抬头"/>
    <w:basedOn w:val="65"/>
    <w:qFormat/>
    <w:uiPriority w:val="0"/>
    <w:pPr>
      <w:adjustRightInd w:val="0"/>
      <w:spacing w:line="800" w:lineRule="exact"/>
      <w:ind w:firstLine="0" w:firstLineChars="0"/>
      <w:jc w:val="distribute"/>
    </w:pPr>
    <w:rPr>
      <w:rFonts w:ascii="黑体" w:eastAsia="黑体"/>
      <w:b/>
      <w:sz w:val="64"/>
    </w:rPr>
  </w:style>
  <w:style w:type="paragraph" w:customStyle="1" w:styleId="85">
    <w:name w:val="标准文件_附录标识"/>
    <w:next w:val="65"/>
    <w:qFormat/>
    <w:uiPriority w:val="0"/>
    <w:pPr>
      <w:numPr>
        <w:ilvl w:val="0"/>
        <w:numId w:val="3"/>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86">
    <w:name w:val="标准文件_附录表标题"/>
    <w:next w:val="65"/>
    <w:qFormat/>
    <w:uiPriority w:val="0"/>
    <w:pPr>
      <w:numPr>
        <w:ilvl w:val="1"/>
        <w:numId w:val="4"/>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7">
    <w:name w:val="标准文件_附录一级条标题"/>
    <w:next w:val="65"/>
    <w:qFormat/>
    <w:uiPriority w:val="0"/>
    <w:pPr>
      <w:widowControl w:val="0"/>
      <w:numPr>
        <w:ilvl w:val="1"/>
        <w:numId w:val="3"/>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8">
    <w:name w:val="标准文件_附录二级条标题"/>
    <w:basedOn w:val="87"/>
    <w:next w:val="65"/>
    <w:qFormat/>
    <w:uiPriority w:val="0"/>
    <w:pPr>
      <w:widowControl/>
      <w:numPr>
        <w:ilvl w:val="2"/>
      </w:numPr>
      <w:wordWrap w:val="0"/>
      <w:overflowPunct w:val="0"/>
      <w:autoSpaceDE w:val="0"/>
      <w:autoSpaceDN w:val="0"/>
      <w:textAlignment w:val="baseline"/>
      <w:outlineLvl w:val="3"/>
    </w:pPr>
  </w:style>
  <w:style w:type="paragraph" w:customStyle="1" w:styleId="89">
    <w:name w:val="标准文件_附录公式"/>
    <w:basedOn w:val="64"/>
    <w:next w:val="64"/>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90">
    <w:name w:val="标准文件_附录三级条标题"/>
    <w:next w:val="65"/>
    <w:qFormat/>
    <w:uiPriority w:val="0"/>
    <w:pPr>
      <w:widowControl w:val="0"/>
      <w:numPr>
        <w:ilvl w:val="3"/>
        <w:numId w:val="3"/>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91">
    <w:name w:val="标准文件_附录四级条标题"/>
    <w:next w:val="65"/>
    <w:qFormat/>
    <w:uiPriority w:val="0"/>
    <w:pPr>
      <w:widowControl w:val="0"/>
      <w:numPr>
        <w:ilvl w:val="4"/>
        <w:numId w:val="3"/>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92">
    <w:name w:val="标准文件_附录图标题"/>
    <w:next w:val="65"/>
    <w:qFormat/>
    <w:uiPriority w:val="0"/>
    <w:pPr>
      <w:numPr>
        <w:ilvl w:val="1"/>
        <w:numId w:val="5"/>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93">
    <w:name w:val="标准文件_附录五级条标题"/>
    <w:next w:val="65"/>
    <w:qFormat/>
    <w:uiPriority w:val="0"/>
    <w:pPr>
      <w:widowControl w:val="0"/>
      <w:numPr>
        <w:ilvl w:val="5"/>
        <w:numId w:val="3"/>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94">
    <w:name w:val="标准文件_附录英文标识"/>
    <w:next w:val="15"/>
    <w:qFormat/>
    <w:uiPriority w:val="0"/>
    <w:pPr>
      <w:numPr>
        <w:ilvl w:val="0"/>
        <w:numId w:val="6"/>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5">
    <w:name w:val="正文文本 字符"/>
    <w:link w:val="15"/>
    <w:qFormat/>
    <w:uiPriority w:val="0"/>
    <w:rPr>
      <w:rFonts w:ascii="Times New Roman" w:hAnsi="Times New Roman" w:eastAsia="宋体" w:cs="Times New Roman"/>
      <w:szCs w:val="20"/>
    </w:rPr>
  </w:style>
  <w:style w:type="paragraph" w:customStyle="1" w:styleId="96">
    <w:name w:val="标准文件_附录章标题"/>
    <w:next w:val="65"/>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7">
    <w:name w:val="标准文件_公式后的破折号"/>
    <w:basedOn w:val="65"/>
    <w:next w:val="65"/>
    <w:qFormat/>
    <w:uiPriority w:val="0"/>
    <w:pPr>
      <w:ind w:left="488" w:leftChars="200" w:hanging="289" w:hangingChars="290"/>
    </w:pPr>
  </w:style>
  <w:style w:type="paragraph" w:customStyle="1" w:styleId="98">
    <w:name w:val="标准文件_前言、引言标题"/>
    <w:next w:val="1"/>
    <w:qFormat/>
    <w:uiPriority w:val="0"/>
    <w:pPr>
      <w:numPr>
        <w:ilvl w:val="0"/>
        <w:numId w:val="7"/>
      </w:numPr>
      <w:shd w:val="clear" w:color="FFFFFF" w:fill="FFFFFF"/>
      <w:spacing w:afterLines="150"/>
      <w:jc w:val="center"/>
      <w:outlineLvl w:val="0"/>
    </w:pPr>
    <w:rPr>
      <w:rFonts w:ascii="黑体" w:hAnsi="Times New Roman" w:eastAsia="黑体" w:cs="Times New Roman"/>
      <w:sz w:val="32"/>
      <w:lang w:val="en-US" w:eastAsia="zh-CN" w:bidi="ar-SA"/>
    </w:rPr>
  </w:style>
  <w:style w:type="paragraph" w:customStyle="1" w:styleId="99">
    <w:name w:val="标准文件_目次、标准名称标题"/>
    <w:basedOn w:val="98"/>
    <w:next w:val="65"/>
    <w:qFormat/>
    <w:uiPriority w:val="0"/>
    <w:pPr>
      <w:spacing w:line="460" w:lineRule="exact"/>
    </w:pPr>
  </w:style>
  <w:style w:type="paragraph" w:customStyle="1" w:styleId="100">
    <w:name w:val="标准文件_目录标题"/>
    <w:basedOn w:val="1"/>
    <w:qFormat/>
    <w:uiPriority w:val="0"/>
    <w:pPr>
      <w:spacing w:afterLines="150" w:line="240" w:lineRule="auto"/>
      <w:jc w:val="center"/>
    </w:pPr>
    <w:rPr>
      <w:rFonts w:ascii="黑体" w:eastAsia="黑体"/>
      <w:sz w:val="32"/>
    </w:rPr>
  </w:style>
  <w:style w:type="paragraph" w:customStyle="1" w:styleId="101">
    <w:name w:val="标准文件_破折号列项"/>
    <w:qFormat/>
    <w:uiPriority w:val="0"/>
    <w:pPr>
      <w:numPr>
        <w:ilvl w:val="0"/>
        <w:numId w:val="8"/>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102">
    <w:name w:val="标准文件_破折号列项（二级）"/>
    <w:basedOn w:val="101"/>
    <w:qFormat/>
    <w:uiPriority w:val="0"/>
    <w:pPr>
      <w:numPr>
        <w:numId w:val="9"/>
      </w:numPr>
      <w:ind w:left="0" w:firstLine="200"/>
    </w:pPr>
  </w:style>
  <w:style w:type="paragraph" w:customStyle="1" w:styleId="103">
    <w:name w:val="标准文件_三级条标题"/>
    <w:basedOn w:val="74"/>
    <w:next w:val="65"/>
    <w:qFormat/>
    <w:uiPriority w:val="0"/>
    <w:pPr>
      <w:widowControl/>
      <w:outlineLvl w:val="3"/>
    </w:pPr>
  </w:style>
  <w:style w:type="character" w:customStyle="1" w:styleId="104">
    <w:name w:val="不明显参考1"/>
    <w:qFormat/>
    <w:uiPriority w:val="31"/>
    <w:rPr>
      <w:smallCaps/>
      <w:color w:val="C0504D"/>
      <w:u w:val="single"/>
    </w:rPr>
  </w:style>
  <w:style w:type="paragraph" w:customStyle="1" w:styleId="105">
    <w:name w:val="标准文件_示例后续"/>
    <w:basedOn w:val="1"/>
    <w:qFormat/>
    <w:uiPriority w:val="0"/>
    <w:pPr>
      <w:adjustRightInd/>
      <w:spacing w:line="240" w:lineRule="auto"/>
      <w:ind w:firstLine="200" w:firstLineChars="200"/>
    </w:pPr>
    <w:rPr>
      <w:sz w:val="18"/>
      <w:szCs w:val="24"/>
    </w:rPr>
  </w:style>
  <w:style w:type="paragraph" w:customStyle="1" w:styleId="106">
    <w:name w:val="标准文件_数字编号列项"/>
    <w:qFormat/>
    <w:uiPriority w:val="0"/>
    <w:pPr>
      <w:numPr>
        <w:ilvl w:val="0"/>
        <w:numId w:val="10"/>
      </w:numPr>
      <w:jc w:val="both"/>
    </w:pPr>
    <w:rPr>
      <w:rFonts w:ascii="宋体" w:hAnsi="宋体" w:eastAsia="宋体" w:cs="Times New Roman"/>
      <w:sz w:val="21"/>
      <w:lang w:val="en-US" w:eastAsia="zh-CN" w:bidi="ar-SA"/>
    </w:rPr>
  </w:style>
  <w:style w:type="paragraph" w:customStyle="1" w:styleId="107">
    <w:name w:val="标准文件_四级条标题"/>
    <w:next w:val="65"/>
    <w:qFormat/>
    <w:uiPriority w:val="0"/>
    <w:pPr>
      <w:widowControl w:val="0"/>
      <w:spacing w:beforeLines="50" w:afterLines="50"/>
      <w:jc w:val="both"/>
      <w:outlineLvl w:val="4"/>
    </w:pPr>
    <w:rPr>
      <w:rFonts w:ascii="黑体" w:hAnsi="Times New Roman" w:eastAsia="黑体" w:cs="Times New Roman"/>
      <w:sz w:val="21"/>
      <w:lang w:val="en-US" w:eastAsia="zh-CN" w:bidi="ar-SA"/>
    </w:rPr>
  </w:style>
  <w:style w:type="character" w:customStyle="1" w:styleId="108">
    <w:name w:val="脚注文本 字符"/>
    <w:link w:val="26"/>
    <w:semiHidden/>
    <w:qFormat/>
    <w:uiPriority w:val="0"/>
    <w:rPr>
      <w:rFonts w:ascii="宋体" w:hAnsi="Times New Roman" w:eastAsia="宋体" w:cs="Times New Roman"/>
      <w:sz w:val="18"/>
      <w:szCs w:val="18"/>
    </w:rPr>
  </w:style>
  <w:style w:type="paragraph" w:customStyle="1" w:styleId="109">
    <w:name w:val="标准文件_条文脚注"/>
    <w:basedOn w:val="26"/>
    <w:qFormat/>
    <w:uiPriority w:val="0"/>
    <w:pPr>
      <w:adjustRightInd w:val="0"/>
      <w:spacing w:line="240" w:lineRule="auto"/>
      <w:ind w:left="0" w:leftChars="0" w:firstLine="200" w:firstLineChars="200"/>
      <w:jc w:val="both"/>
    </w:pPr>
    <w:rPr>
      <w:rFonts w:hAnsi="宋体"/>
    </w:rPr>
  </w:style>
  <w:style w:type="paragraph" w:customStyle="1" w:styleId="110">
    <w:name w:val="标准文件_图表脚注"/>
    <w:basedOn w:val="1"/>
    <w:next w:val="65"/>
    <w:qFormat/>
    <w:uiPriority w:val="0"/>
    <w:pPr>
      <w:numPr>
        <w:ilvl w:val="0"/>
        <w:numId w:val="11"/>
      </w:numPr>
      <w:spacing w:line="240" w:lineRule="auto"/>
    </w:pPr>
    <w:rPr>
      <w:rFonts w:ascii="宋体" w:hAnsi="宋体"/>
      <w:sz w:val="18"/>
    </w:rPr>
  </w:style>
  <w:style w:type="character" w:customStyle="1" w:styleId="111">
    <w:name w:val="标准文件_图表脚注内容"/>
    <w:qFormat/>
    <w:uiPriority w:val="0"/>
    <w:rPr>
      <w:rFonts w:ascii="宋体" w:hAnsi="宋体" w:eastAsia="宋体" w:cs="Times New Roman"/>
      <w:spacing w:val="0"/>
      <w:sz w:val="18"/>
      <w:vertAlign w:val="superscript"/>
    </w:rPr>
  </w:style>
  <w:style w:type="paragraph" w:customStyle="1" w:styleId="112">
    <w:name w:val="标准文件_五级条标题"/>
    <w:next w:val="65"/>
    <w:qFormat/>
    <w:uiPriority w:val="0"/>
    <w:pPr>
      <w:widowControl w:val="0"/>
      <w:spacing w:beforeLines="50" w:afterLines="50"/>
      <w:jc w:val="both"/>
      <w:outlineLvl w:val="5"/>
    </w:pPr>
    <w:rPr>
      <w:rFonts w:ascii="黑体" w:hAnsi="Times New Roman" w:eastAsia="黑体" w:cs="Times New Roman"/>
      <w:sz w:val="21"/>
      <w:lang w:val="en-US" w:eastAsia="zh-CN" w:bidi="ar-SA"/>
    </w:rPr>
  </w:style>
  <w:style w:type="paragraph" w:customStyle="1" w:styleId="113">
    <w:name w:val="标准文件_章标题"/>
    <w:next w:val="65"/>
    <w:qFormat/>
    <w:uiPriority w:val="0"/>
    <w:pPr>
      <w:spacing w:beforeLines="100" w:afterLines="100"/>
      <w:jc w:val="both"/>
      <w:outlineLvl w:val="0"/>
    </w:pPr>
    <w:rPr>
      <w:rFonts w:ascii="黑体" w:hAnsi="Times New Roman" w:eastAsia="黑体" w:cs="Times New Roman"/>
      <w:sz w:val="21"/>
      <w:lang w:val="en-US" w:eastAsia="zh-CN" w:bidi="ar-SA"/>
    </w:rPr>
  </w:style>
  <w:style w:type="paragraph" w:customStyle="1" w:styleId="114">
    <w:name w:val="标准文件_一级条标题"/>
    <w:basedOn w:val="113"/>
    <w:next w:val="65"/>
    <w:link w:val="282"/>
    <w:qFormat/>
    <w:uiPriority w:val="0"/>
    <w:pPr>
      <w:spacing w:beforeLines="50" w:afterLines="50"/>
      <w:outlineLvl w:val="1"/>
    </w:pPr>
  </w:style>
  <w:style w:type="paragraph" w:customStyle="1" w:styleId="115">
    <w:name w:val="标准文件_一致程度"/>
    <w:basedOn w:val="1"/>
    <w:qFormat/>
    <w:uiPriority w:val="0"/>
    <w:pPr>
      <w:spacing w:line="440" w:lineRule="exact"/>
      <w:jc w:val="center"/>
    </w:pPr>
    <w:rPr>
      <w:sz w:val="28"/>
    </w:rPr>
  </w:style>
  <w:style w:type="paragraph" w:customStyle="1" w:styleId="116">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7">
    <w:name w:val="标准文件_英文图表脚注"/>
    <w:basedOn w:val="64"/>
    <w:qFormat/>
    <w:uiPriority w:val="0"/>
    <w:pPr>
      <w:widowControl/>
      <w:adjustRightInd/>
      <w:snapToGrid/>
      <w:spacing w:line="240" w:lineRule="auto"/>
      <w:ind w:left="79" w:hanging="79" w:hangingChars="80"/>
    </w:pPr>
    <w:rPr>
      <w:rFonts w:ascii="宋体" w:hAnsi="宋体"/>
    </w:rPr>
  </w:style>
  <w:style w:type="paragraph" w:customStyle="1" w:styleId="118">
    <w:name w:val="标准文件_数字编号列项（二级）"/>
    <w:qFormat/>
    <w:uiPriority w:val="0"/>
    <w:pPr>
      <w:numPr>
        <w:ilvl w:val="1"/>
        <w:numId w:val="12"/>
      </w:numPr>
      <w:jc w:val="both"/>
    </w:pPr>
    <w:rPr>
      <w:rFonts w:ascii="宋体" w:hAnsi="Times New Roman" w:eastAsia="宋体" w:cs="Times New Roman"/>
      <w:sz w:val="21"/>
      <w:lang w:val="en-US" w:eastAsia="zh-CN" w:bidi="ar-SA"/>
    </w:rPr>
  </w:style>
  <w:style w:type="paragraph" w:customStyle="1" w:styleId="119">
    <w:name w:val="标准文件_英文注："/>
    <w:basedOn w:val="1"/>
    <w:next w:val="65"/>
    <w:qFormat/>
    <w:uiPriority w:val="0"/>
    <w:pPr>
      <w:numPr>
        <w:ilvl w:val="0"/>
        <w:numId w:val="13"/>
      </w:numPr>
      <w:tabs>
        <w:tab w:val="left" w:pos="420"/>
      </w:tabs>
      <w:autoSpaceDE w:val="0"/>
      <w:autoSpaceDN w:val="0"/>
      <w:spacing w:line="240" w:lineRule="auto"/>
    </w:pPr>
    <w:rPr>
      <w:rFonts w:ascii="宋体" w:hAnsi="宋体"/>
      <w:kern w:val="0"/>
      <w:sz w:val="18"/>
      <w:szCs w:val="20"/>
    </w:rPr>
  </w:style>
  <w:style w:type="paragraph" w:customStyle="1" w:styleId="120">
    <w:name w:val="标准文件_英文注×："/>
    <w:basedOn w:val="1"/>
    <w:qFormat/>
    <w:uiPriority w:val="0"/>
    <w:pPr>
      <w:numPr>
        <w:ilvl w:val="0"/>
        <w:numId w:val="14"/>
      </w:numPr>
      <w:tabs>
        <w:tab w:val="left" w:pos="210"/>
      </w:tabs>
      <w:autoSpaceDE w:val="0"/>
      <w:autoSpaceDN w:val="0"/>
      <w:spacing w:line="240" w:lineRule="auto"/>
    </w:pPr>
    <w:rPr>
      <w:rFonts w:ascii="宋体" w:hAnsi="宋体"/>
      <w:kern w:val="0"/>
      <w:szCs w:val="20"/>
    </w:rPr>
  </w:style>
  <w:style w:type="paragraph" w:customStyle="1" w:styleId="121">
    <w:name w:val="标准文件_正文表标题"/>
    <w:next w:val="65"/>
    <w:qFormat/>
    <w:uiPriority w:val="0"/>
    <w:pPr>
      <w:numPr>
        <w:ilvl w:val="0"/>
        <w:numId w:val="15"/>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22">
    <w:name w:val="标准文件_正文公式"/>
    <w:basedOn w:val="1"/>
    <w:next w:val="64"/>
    <w:qFormat/>
    <w:uiPriority w:val="0"/>
    <w:pPr>
      <w:tabs>
        <w:tab w:val="center" w:pos="4678"/>
        <w:tab w:val="right" w:leader="middleDot" w:pos="9356"/>
      </w:tabs>
      <w:spacing w:line="240" w:lineRule="auto"/>
    </w:pPr>
    <w:rPr>
      <w:rFonts w:ascii="宋体" w:hAnsi="宋体"/>
    </w:rPr>
  </w:style>
  <w:style w:type="paragraph" w:customStyle="1" w:styleId="123">
    <w:name w:val="标准文件_正文图标题"/>
    <w:next w:val="65"/>
    <w:qFormat/>
    <w:uiPriority w:val="0"/>
    <w:pPr>
      <w:numPr>
        <w:ilvl w:val="0"/>
        <w:numId w:val="16"/>
      </w:numPr>
      <w:spacing w:beforeLines="50" w:afterLines="50"/>
      <w:jc w:val="center"/>
    </w:pPr>
    <w:rPr>
      <w:rFonts w:ascii="黑体" w:hAnsi="Times New Roman" w:eastAsia="黑体" w:cs="Times New Roman"/>
      <w:sz w:val="21"/>
      <w:lang w:val="en-US" w:eastAsia="zh-CN" w:bidi="ar-SA"/>
    </w:rPr>
  </w:style>
  <w:style w:type="paragraph" w:customStyle="1" w:styleId="124">
    <w:name w:val="标准文件_正文英文表标题"/>
    <w:next w:val="65"/>
    <w:qFormat/>
    <w:uiPriority w:val="0"/>
    <w:pPr>
      <w:numPr>
        <w:ilvl w:val="0"/>
        <w:numId w:val="17"/>
      </w:numPr>
      <w:jc w:val="center"/>
    </w:pPr>
    <w:rPr>
      <w:rFonts w:ascii="黑体" w:hAnsi="Times New Roman" w:eastAsia="黑体" w:cs="Times New Roman"/>
      <w:sz w:val="21"/>
      <w:lang w:val="en-US" w:eastAsia="zh-CN" w:bidi="ar-SA"/>
    </w:rPr>
  </w:style>
  <w:style w:type="paragraph" w:customStyle="1" w:styleId="125">
    <w:name w:val="标准文件_正文英文图标题"/>
    <w:next w:val="65"/>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6">
    <w:name w:val="标准文件_编号列项（三级）"/>
    <w:qFormat/>
    <w:uiPriority w:val="0"/>
    <w:pPr>
      <w:numPr>
        <w:ilvl w:val="2"/>
        <w:numId w:val="12"/>
      </w:numPr>
    </w:pPr>
    <w:rPr>
      <w:rFonts w:ascii="宋体" w:hAnsi="Times New Roman" w:eastAsia="宋体" w:cs="Times New Roman"/>
      <w:sz w:val="21"/>
      <w:lang w:val="en-US" w:eastAsia="zh-CN" w:bidi="ar-SA"/>
    </w:rPr>
  </w:style>
  <w:style w:type="paragraph" w:customStyle="1" w:styleId="127">
    <w:name w:val="二级无标题条"/>
    <w:basedOn w:val="1"/>
    <w:qFormat/>
    <w:uiPriority w:val="0"/>
    <w:pPr>
      <w:numPr>
        <w:ilvl w:val="3"/>
        <w:numId w:val="19"/>
      </w:numPr>
      <w:adjustRightInd/>
      <w:spacing w:line="240" w:lineRule="auto"/>
    </w:pPr>
    <w:rPr>
      <w:rFonts w:ascii="宋体" w:hAnsi="宋体"/>
      <w:szCs w:val="24"/>
    </w:rPr>
  </w:style>
  <w:style w:type="paragraph" w:customStyle="1" w:styleId="128">
    <w:name w:val="发布部门"/>
    <w:next w:val="65"/>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9">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30">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31">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3">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4">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5">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6">
    <w:name w:val="封面正文"/>
    <w:qFormat/>
    <w:uiPriority w:val="0"/>
    <w:pPr>
      <w:jc w:val="both"/>
    </w:pPr>
    <w:rPr>
      <w:rFonts w:ascii="Times New Roman" w:hAnsi="Times New Roman" w:eastAsia="宋体" w:cs="Times New Roman"/>
      <w:lang w:val="en-US" w:eastAsia="zh-CN" w:bidi="ar-SA"/>
    </w:rPr>
  </w:style>
  <w:style w:type="paragraph" w:customStyle="1" w:styleId="137">
    <w:name w:val="附录二级无标题条"/>
    <w:basedOn w:val="1"/>
    <w:next w:val="65"/>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8">
    <w:name w:val="附录三级无标题条"/>
    <w:basedOn w:val="137"/>
    <w:next w:val="65"/>
    <w:qFormat/>
    <w:uiPriority w:val="0"/>
    <w:pPr>
      <w:outlineLvl w:val="4"/>
    </w:pPr>
  </w:style>
  <w:style w:type="paragraph" w:customStyle="1" w:styleId="139">
    <w:name w:val="附录四级无标题条"/>
    <w:basedOn w:val="138"/>
    <w:next w:val="65"/>
    <w:qFormat/>
    <w:uiPriority w:val="0"/>
    <w:pPr>
      <w:outlineLvl w:val="5"/>
    </w:pPr>
  </w:style>
  <w:style w:type="paragraph" w:customStyle="1" w:styleId="140">
    <w:name w:val="附录图"/>
    <w:next w:val="65"/>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41">
    <w:name w:val="标准文件_一级项"/>
    <w:qFormat/>
    <w:uiPriority w:val="0"/>
    <w:pPr>
      <w:numPr>
        <w:ilvl w:val="0"/>
        <w:numId w:val="20"/>
      </w:numPr>
    </w:pPr>
    <w:rPr>
      <w:rFonts w:ascii="宋体" w:hAnsi="Times New Roman" w:eastAsia="宋体" w:cs="Times New Roman"/>
      <w:sz w:val="21"/>
      <w:lang w:val="en-US" w:eastAsia="zh-CN" w:bidi="ar-SA"/>
    </w:rPr>
  </w:style>
  <w:style w:type="paragraph" w:customStyle="1" w:styleId="142">
    <w:name w:val="附录五级无标题条"/>
    <w:basedOn w:val="139"/>
    <w:next w:val="65"/>
    <w:qFormat/>
    <w:uiPriority w:val="0"/>
    <w:pPr>
      <w:outlineLvl w:val="6"/>
    </w:pPr>
  </w:style>
  <w:style w:type="paragraph" w:customStyle="1" w:styleId="143">
    <w:name w:val="附录性质"/>
    <w:basedOn w:val="1"/>
    <w:qFormat/>
    <w:uiPriority w:val="0"/>
    <w:pPr>
      <w:widowControl/>
      <w:adjustRightInd/>
      <w:jc w:val="center"/>
    </w:pPr>
    <w:rPr>
      <w:rFonts w:ascii="黑体" w:eastAsia="黑体"/>
    </w:rPr>
  </w:style>
  <w:style w:type="paragraph" w:customStyle="1" w:styleId="144">
    <w:name w:val="附录一级无标题条"/>
    <w:basedOn w:val="96"/>
    <w:next w:val="65"/>
    <w:qFormat/>
    <w:uiPriority w:val="0"/>
    <w:pPr>
      <w:autoSpaceDN w:val="0"/>
      <w:outlineLvl w:val="2"/>
    </w:pPr>
    <w:rPr>
      <w:rFonts w:ascii="宋体" w:hAnsi="宋体" w:eastAsia="宋体"/>
    </w:rPr>
  </w:style>
  <w:style w:type="character" w:customStyle="1" w:styleId="145">
    <w:name w:val="个人答复风格"/>
    <w:qFormat/>
    <w:uiPriority w:val="0"/>
    <w:rPr>
      <w:rFonts w:ascii="Arial" w:hAnsi="Arial" w:eastAsia="宋体" w:cs="Arial"/>
      <w:color w:val="auto"/>
      <w:spacing w:val="0"/>
      <w:sz w:val="20"/>
    </w:rPr>
  </w:style>
  <w:style w:type="character" w:customStyle="1" w:styleId="146">
    <w:name w:val="个人撰写风格"/>
    <w:qFormat/>
    <w:uiPriority w:val="0"/>
    <w:rPr>
      <w:rFonts w:ascii="Arial" w:hAnsi="Arial" w:eastAsia="宋体" w:cs="Arial"/>
      <w:color w:val="auto"/>
      <w:spacing w:val="0"/>
      <w:sz w:val="20"/>
    </w:rPr>
  </w:style>
  <w:style w:type="paragraph" w:customStyle="1" w:styleId="147">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8">
    <w:name w:val="列项——"/>
    <w:qFormat/>
    <w:uiPriority w:val="0"/>
    <w:pPr>
      <w:widowControl w:val="0"/>
      <w:numPr>
        <w:ilvl w:val="0"/>
        <w:numId w:val="21"/>
      </w:numPr>
      <w:jc w:val="both"/>
    </w:pPr>
    <w:rPr>
      <w:rFonts w:ascii="宋体" w:hAnsi="宋体" w:eastAsia="宋体" w:cs="Times New Roman"/>
      <w:sz w:val="21"/>
      <w:lang w:val="en-US" w:eastAsia="zh-CN" w:bidi="ar-SA"/>
    </w:rPr>
  </w:style>
  <w:style w:type="paragraph" w:customStyle="1" w:styleId="149">
    <w:name w:val="列项·"/>
    <w:basedOn w:val="65"/>
    <w:qFormat/>
    <w:uiPriority w:val="0"/>
    <w:pPr>
      <w:tabs>
        <w:tab w:val="left" w:pos="840"/>
      </w:tabs>
    </w:pPr>
  </w:style>
  <w:style w:type="paragraph" w:customStyle="1" w:styleId="15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51">
    <w:name w:val="目录 21"/>
    <w:basedOn w:val="1"/>
    <w:next w:val="1"/>
    <w:semiHidden/>
    <w:qFormat/>
    <w:uiPriority w:val="0"/>
    <w:pPr>
      <w:adjustRightInd/>
      <w:spacing w:line="240" w:lineRule="auto"/>
    </w:pPr>
    <w:rPr>
      <w:bCs/>
      <w:iCs/>
    </w:rPr>
  </w:style>
  <w:style w:type="paragraph" w:customStyle="1" w:styleId="152">
    <w:name w:val="目录 31"/>
    <w:basedOn w:val="1"/>
    <w:next w:val="1"/>
    <w:semiHidden/>
    <w:qFormat/>
    <w:uiPriority w:val="0"/>
    <w:pPr>
      <w:spacing w:line="240" w:lineRule="auto"/>
    </w:pPr>
    <w:rPr>
      <w:rFonts w:ascii="宋体" w:hAnsi="宋体"/>
      <w:iCs/>
    </w:rPr>
  </w:style>
  <w:style w:type="paragraph" w:customStyle="1" w:styleId="153">
    <w:name w:val="目录 41"/>
    <w:basedOn w:val="1"/>
    <w:next w:val="1"/>
    <w:semiHidden/>
    <w:qFormat/>
    <w:uiPriority w:val="0"/>
    <w:pPr>
      <w:adjustRightInd/>
      <w:spacing w:line="240" w:lineRule="auto"/>
    </w:pPr>
  </w:style>
  <w:style w:type="paragraph" w:customStyle="1" w:styleId="154">
    <w:name w:val="目录 51"/>
    <w:basedOn w:val="1"/>
    <w:next w:val="1"/>
    <w:semiHidden/>
    <w:qFormat/>
    <w:uiPriority w:val="0"/>
    <w:pPr>
      <w:spacing w:line="240" w:lineRule="auto"/>
    </w:pPr>
    <w:rPr>
      <w:rFonts w:ascii="宋体" w:hAnsi="宋体"/>
    </w:rPr>
  </w:style>
  <w:style w:type="paragraph" w:customStyle="1" w:styleId="155">
    <w:name w:val="目录 61"/>
    <w:basedOn w:val="1"/>
    <w:next w:val="1"/>
    <w:semiHidden/>
    <w:qFormat/>
    <w:uiPriority w:val="0"/>
    <w:pPr>
      <w:adjustRightInd/>
      <w:spacing w:line="240" w:lineRule="auto"/>
    </w:pPr>
  </w:style>
  <w:style w:type="paragraph" w:customStyle="1" w:styleId="156">
    <w:name w:val="目录 71"/>
    <w:basedOn w:val="155"/>
    <w:semiHidden/>
    <w:qFormat/>
    <w:uiPriority w:val="0"/>
    <w:pPr>
      <w:ind w:left="1260"/>
    </w:pPr>
  </w:style>
  <w:style w:type="paragraph" w:customStyle="1" w:styleId="157">
    <w:name w:val="目录 81"/>
    <w:basedOn w:val="156"/>
    <w:semiHidden/>
    <w:qFormat/>
    <w:uiPriority w:val="0"/>
    <w:pPr>
      <w:ind w:left="1470"/>
    </w:pPr>
  </w:style>
  <w:style w:type="paragraph" w:customStyle="1" w:styleId="158">
    <w:name w:val="目录 91"/>
    <w:basedOn w:val="157"/>
    <w:semiHidden/>
    <w:qFormat/>
    <w:uiPriority w:val="0"/>
    <w:pPr>
      <w:ind w:left="1680"/>
    </w:pPr>
  </w:style>
  <w:style w:type="paragraph" w:customStyle="1" w:styleId="159">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60">
    <w:name w:val="其他发布部门"/>
    <w:basedOn w:val="128"/>
    <w:qFormat/>
    <w:uiPriority w:val="0"/>
    <w:pPr>
      <w:framePr w:wrap="around"/>
      <w:spacing w:line="0" w:lineRule="atLeast"/>
    </w:pPr>
    <w:rPr>
      <w:rFonts w:ascii="黑体" w:eastAsia="黑体"/>
      <w:b w:val="0"/>
    </w:rPr>
  </w:style>
  <w:style w:type="paragraph" w:customStyle="1" w:styleId="161">
    <w:name w:val="前言标题"/>
    <w:next w:val="1"/>
    <w:qFormat/>
    <w:uiPriority w:val="99"/>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62">
    <w:name w:val="三级无标题条"/>
    <w:basedOn w:val="1"/>
    <w:qFormat/>
    <w:uiPriority w:val="0"/>
    <w:pPr>
      <w:numPr>
        <w:ilvl w:val="4"/>
        <w:numId w:val="19"/>
      </w:numPr>
      <w:adjustRightInd/>
      <w:spacing w:line="240" w:lineRule="auto"/>
    </w:pPr>
    <w:rPr>
      <w:rFonts w:ascii="宋体" w:hAnsi="宋体"/>
      <w:szCs w:val="24"/>
    </w:rPr>
  </w:style>
  <w:style w:type="paragraph" w:customStyle="1" w:styleId="163">
    <w:name w:val="实施日期"/>
    <w:basedOn w:val="129"/>
    <w:qFormat/>
    <w:uiPriority w:val="0"/>
    <w:pPr>
      <w:framePr w:hSpace="0" w:wrap="around" w:xAlign="right"/>
      <w:jc w:val="right"/>
    </w:pPr>
  </w:style>
  <w:style w:type="paragraph" w:customStyle="1" w:styleId="164">
    <w:name w:val="四级无标题条"/>
    <w:basedOn w:val="1"/>
    <w:qFormat/>
    <w:uiPriority w:val="0"/>
    <w:pPr>
      <w:numPr>
        <w:ilvl w:val="5"/>
        <w:numId w:val="19"/>
      </w:numPr>
      <w:adjustRightInd/>
      <w:spacing w:line="240" w:lineRule="auto"/>
    </w:pPr>
    <w:rPr>
      <w:rFonts w:ascii="宋体" w:hAnsi="宋体"/>
      <w:szCs w:val="24"/>
    </w:rPr>
  </w:style>
  <w:style w:type="paragraph" w:customStyle="1" w:styleId="165">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6">
    <w:name w:val="无标题条"/>
    <w:next w:val="65"/>
    <w:qFormat/>
    <w:uiPriority w:val="0"/>
    <w:pPr>
      <w:jc w:val="both"/>
    </w:pPr>
    <w:rPr>
      <w:rFonts w:ascii="宋体" w:hAnsi="宋体" w:eastAsia="宋体" w:cs="Times New Roman"/>
      <w:sz w:val="21"/>
      <w:lang w:val="en-US" w:eastAsia="zh-CN" w:bidi="ar-SA"/>
    </w:rPr>
  </w:style>
  <w:style w:type="paragraph" w:customStyle="1" w:styleId="167">
    <w:name w:val="五级无标题条"/>
    <w:basedOn w:val="1"/>
    <w:qFormat/>
    <w:uiPriority w:val="0"/>
    <w:pPr>
      <w:numPr>
        <w:ilvl w:val="6"/>
        <w:numId w:val="19"/>
      </w:numPr>
      <w:adjustRightInd/>
    </w:pPr>
    <w:rPr>
      <w:szCs w:val="24"/>
    </w:rPr>
  </w:style>
  <w:style w:type="paragraph" w:customStyle="1" w:styleId="168">
    <w:name w:val="一级无标题条"/>
    <w:basedOn w:val="1"/>
    <w:qFormat/>
    <w:uiPriority w:val="0"/>
    <w:pPr>
      <w:numPr>
        <w:ilvl w:val="2"/>
        <w:numId w:val="19"/>
      </w:numPr>
      <w:adjustRightInd/>
      <w:spacing w:before="10" w:after="10" w:line="240" w:lineRule="auto"/>
    </w:pPr>
    <w:rPr>
      <w:rFonts w:ascii="宋体" w:hAnsi="宋体"/>
      <w:szCs w:val="24"/>
    </w:rPr>
  </w:style>
  <w:style w:type="paragraph" w:customStyle="1" w:styleId="169">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70">
    <w:name w:val="注×:后续"/>
    <w:basedOn w:val="169"/>
    <w:qFormat/>
    <w:uiPriority w:val="0"/>
    <w:pPr>
      <w:ind w:left="1406" w:leftChars="0" w:hanging="499" w:firstLineChars="0"/>
    </w:pPr>
  </w:style>
  <w:style w:type="paragraph" w:customStyle="1" w:styleId="171">
    <w:name w:val="标准文件_一级无标题"/>
    <w:basedOn w:val="114"/>
    <w:qFormat/>
    <w:uiPriority w:val="0"/>
    <w:pPr>
      <w:spacing w:beforeLines="0" w:afterLines="0"/>
      <w:outlineLvl w:val="9"/>
    </w:pPr>
    <w:rPr>
      <w:rFonts w:ascii="宋体" w:eastAsia="宋体"/>
    </w:rPr>
  </w:style>
  <w:style w:type="paragraph" w:customStyle="1" w:styleId="172">
    <w:name w:val="标准文件_五级无标题"/>
    <w:basedOn w:val="112"/>
    <w:qFormat/>
    <w:uiPriority w:val="0"/>
    <w:pPr>
      <w:spacing w:beforeLines="0" w:afterLines="0"/>
      <w:outlineLvl w:val="9"/>
    </w:pPr>
    <w:rPr>
      <w:rFonts w:ascii="宋体" w:eastAsia="宋体"/>
    </w:rPr>
  </w:style>
  <w:style w:type="paragraph" w:customStyle="1" w:styleId="173">
    <w:name w:val="标准文件_三级无标题"/>
    <w:basedOn w:val="103"/>
    <w:qFormat/>
    <w:uiPriority w:val="0"/>
    <w:pPr>
      <w:spacing w:beforeLines="0" w:afterLines="0"/>
      <w:outlineLvl w:val="9"/>
    </w:pPr>
    <w:rPr>
      <w:rFonts w:ascii="宋体" w:eastAsia="宋体"/>
    </w:rPr>
  </w:style>
  <w:style w:type="paragraph" w:customStyle="1" w:styleId="174">
    <w:name w:val="标准文件_二级无标题"/>
    <w:basedOn w:val="74"/>
    <w:qFormat/>
    <w:uiPriority w:val="0"/>
    <w:pPr>
      <w:spacing w:beforeLines="0" w:afterLines="0"/>
      <w:outlineLvl w:val="9"/>
    </w:pPr>
    <w:rPr>
      <w:rFonts w:ascii="宋体" w:eastAsia="宋体"/>
    </w:rPr>
  </w:style>
  <w:style w:type="paragraph" w:customStyle="1" w:styleId="175">
    <w:name w:val="标准_四级无标题"/>
    <w:basedOn w:val="107"/>
    <w:next w:val="65"/>
    <w:qFormat/>
    <w:uiPriority w:val="0"/>
    <w:rPr>
      <w:rFonts w:eastAsia="宋体"/>
    </w:rPr>
  </w:style>
  <w:style w:type="paragraph" w:customStyle="1" w:styleId="176">
    <w:name w:val="标准文件_四级无标题"/>
    <w:basedOn w:val="107"/>
    <w:qFormat/>
    <w:uiPriority w:val="0"/>
    <w:pPr>
      <w:spacing w:beforeLines="0" w:afterLines="0"/>
      <w:outlineLvl w:val="9"/>
    </w:pPr>
    <w:rPr>
      <w:rFonts w:ascii="宋体" w:hAnsi="黑体" w:eastAsia="宋体"/>
      <w:szCs w:val="52"/>
    </w:rPr>
  </w:style>
  <w:style w:type="paragraph" w:customStyle="1" w:styleId="177">
    <w:name w:val="标准文件_大写罗马数字编号列项"/>
    <w:basedOn w:val="65"/>
    <w:qFormat/>
    <w:uiPriority w:val="0"/>
    <w:pPr>
      <w:numPr>
        <w:ilvl w:val="0"/>
        <w:numId w:val="22"/>
      </w:numPr>
      <w:ind w:firstLine="0" w:firstLineChars="0"/>
    </w:pPr>
    <w:rPr>
      <w:rFonts w:ascii="Times New Roman" w:cs="Arial"/>
      <w:szCs w:val="28"/>
    </w:rPr>
  </w:style>
  <w:style w:type="paragraph" w:customStyle="1" w:styleId="178">
    <w:name w:val="标准文件_小写罗马数字编号列项"/>
    <w:basedOn w:val="65"/>
    <w:qFormat/>
    <w:uiPriority w:val="0"/>
    <w:pPr>
      <w:numPr>
        <w:ilvl w:val="0"/>
        <w:numId w:val="23"/>
      </w:numPr>
      <w:ind w:firstLine="0" w:firstLineChars="0"/>
    </w:pPr>
    <w:rPr>
      <w:rFonts w:cs="Arial"/>
      <w:szCs w:val="28"/>
    </w:rPr>
  </w:style>
  <w:style w:type="paragraph" w:customStyle="1" w:styleId="179">
    <w:name w:val="标准文件_附录标题"/>
    <w:basedOn w:val="85"/>
    <w:qFormat/>
    <w:uiPriority w:val="0"/>
    <w:pPr>
      <w:numPr>
        <w:numId w:val="0"/>
      </w:numPr>
      <w:spacing w:after="280"/>
      <w:outlineLvl w:val="9"/>
    </w:pPr>
  </w:style>
  <w:style w:type="paragraph" w:customStyle="1" w:styleId="180">
    <w:name w:val="标准文件_二级项"/>
    <w:qFormat/>
    <w:uiPriority w:val="0"/>
    <w:rPr>
      <w:rFonts w:ascii="宋体" w:hAnsi="Times New Roman" w:eastAsia="宋体" w:cs="Times New Roman"/>
      <w:sz w:val="21"/>
      <w:lang w:val="en-US" w:eastAsia="zh-CN" w:bidi="ar-SA"/>
    </w:rPr>
  </w:style>
  <w:style w:type="paragraph" w:customStyle="1" w:styleId="181">
    <w:name w:val="标准文件_三级项"/>
    <w:basedOn w:val="1"/>
    <w:qFormat/>
    <w:uiPriority w:val="0"/>
    <w:pPr>
      <w:numPr>
        <w:ilvl w:val="2"/>
        <w:numId w:val="20"/>
      </w:numPr>
      <w:spacing w:line="536870612" w:lineRule="auto"/>
    </w:pPr>
    <w:rPr>
      <w:rFonts w:ascii="Times New Roman" w:hAnsi="Times New Roman"/>
    </w:rPr>
  </w:style>
  <w:style w:type="paragraph" w:customStyle="1" w:styleId="182">
    <w:name w:val="图表脚注说明"/>
    <w:basedOn w:val="1"/>
    <w:next w:val="65"/>
    <w:qFormat/>
    <w:uiPriority w:val="0"/>
    <w:pPr>
      <w:numPr>
        <w:ilvl w:val="0"/>
        <w:numId w:val="24"/>
      </w:numPr>
      <w:adjustRightInd/>
      <w:spacing w:line="240" w:lineRule="auto"/>
      <w:ind w:left="783"/>
    </w:pPr>
    <w:rPr>
      <w:rFonts w:ascii="宋体" w:hAnsi="Times New Roman"/>
      <w:sz w:val="18"/>
      <w:szCs w:val="18"/>
    </w:rPr>
  </w:style>
  <w:style w:type="paragraph" w:customStyle="1" w:styleId="183">
    <w:name w:val="标准文件_字母编号列项（一级）"/>
    <w:qFormat/>
    <w:uiPriority w:val="0"/>
    <w:pPr>
      <w:numPr>
        <w:ilvl w:val="0"/>
        <w:numId w:val="12"/>
      </w:numPr>
      <w:jc w:val="both"/>
    </w:pPr>
    <w:rPr>
      <w:rFonts w:ascii="宋体" w:hAnsi="Times New Roman" w:eastAsia="宋体" w:cs="Times New Roman"/>
      <w:sz w:val="21"/>
      <w:lang w:val="en-US" w:eastAsia="zh-CN" w:bidi="ar-SA"/>
    </w:rPr>
  </w:style>
  <w:style w:type="paragraph" w:customStyle="1" w:styleId="184">
    <w:name w:val="标准文件_索引字母"/>
    <w:next w:val="65"/>
    <w:qFormat/>
    <w:uiPriority w:val="0"/>
    <w:pPr>
      <w:jc w:val="center"/>
    </w:pPr>
    <w:rPr>
      <w:rFonts w:ascii="宋体" w:hAnsi="宋体" w:eastAsia="Times New Roman" w:cs="Times New Roman"/>
      <w:b/>
      <w:kern w:val="2"/>
      <w:sz w:val="21"/>
      <w:lang w:val="en-US" w:eastAsia="zh-CN" w:bidi="ar-SA"/>
    </w:rPr>
  </w:style>
  <w:style w:type="paragraph" w:customStyle="1" w:styleId="185">
    <w:name w:val="标准文件_附录前"/>
    <w:next w:val="65"/>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6">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87">
    <w:name w:val="标准文件_表格"/>
    <w:basedOn w:val="65"/>
    <w:qFormat/>
    <w:uiPriority w:val="0"/>
    <w:pPr>
      <w:ind w:firstLine="0" w:firstLineChars="0"/>
      <w:jc w:val="center"/>
    </w:pPr>
    <w:rPr>
      <w:sz w:val="18"/>
    </w:rPr>
  </w:style>
  <w:style w:type="paragraph" w:customStyle="1" w:styleId="188">
    <w:name w:val="标准文件_注："/>
    <w:next w:val="65"/>
    <w:qFormat/>
    <w:uiPriority w:val="0"/>
    <w:pPr>
      <w:widowControl w:val="0"/>
      <w:numPr>
        <w:ilvl w:val="0"/>
        <w:numId w:val="25"/>
      </w:numPr>
      <w:autoSpaceDE w:val="0"/>
      <w:autoSpaceDN w:val="0"/>
      <w:jc w:val="both"/>
    </w:pPr>
    <w:rPr>
      <w:rFonts w:ascii="宋体" w:hAnsi="Times New Roman" w:eastAsia="宋体" w:cs="Times New Roman"/>
      <w:sz w:val="18"/>
      <w:szCs w:val="18"/>
      <w:lang w:val="en-US" w:eastAsia="zh-CN" w:bidi="ar-SA"/>
    </w:rPr>
  </w:style>
  <w:style w:type="paragraph" w:customStyle="1" w:styleId="189">
    <w:name w:val="标准文件_注×："/>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90">
    <w:name w:val="标准文件_示例："/>
    <w:next w:val="191"/>
    <w:qFormat/>
    <w:uiPriority w:val="0"/>
    <w:pPr>
      <w:widowControl w:val="0"/>
      <w:numPr>
        <w:ilvl w:val="0"/>
        <w:numId w:val="27"/>
      </w:numPr>
      <w:jc w:val="both"/>
    </w:pPr>
    <w:rPr>
      <w:rFonts w:ascii="宋体" w:hAnsi="Times New Roman" w:eastAsia="宋体" w:cs="Times New Roman"/>
      <w:sz w:val="18"/>
      <w:szCs w:val="18"/>
      <w:lang w:val="en-US" w:eastAsia="zh-CN" w:bidi="ar-SA"/>
    </w:rPr>
  </w:style>
  <w:style w:type="paragraph" w:customStyle="1" w:styleId="191">
    <w:name w:val="标准文件_示例内容"/>
    <w:basedOn w:val="65"/>
    <w:qFormat/>
    <w:uiPriority w:val="0"/>
    <w:pPr>
      <w:ind w:firstLine="420"/>
    </w:pPr>
    <w:rPr>
      <w:sz w:val="18"/>
    </w:rPr>
  </w:style>
  <w:style w:type="paragraph" w:customStyle="1" w:styleId="192">
    <w:name w:val="标准文件_示例×："/>
    <w:basedOn w:val="1"/>
    <w:next w:val="191"/>
    <w:qFormat/>
    <w:uiPriority w:val="0"/>
    <w:pPr>
      <w:widowControl/>
      <w:numPr>
        <w:ilvl w:val="0"/>
        <w:numId w:val="28"/>
      </w:numPr>
      <w:adjustRightInd/>
      <w:spacing w:line="240" w:lineRule="auto"/>
    </w:pPr>
    <w:rPr>
      <w:rFonts w:ascii="宋体" w:hAnsi="Times New Roman"/>
      <w:kern w:val="0"/>
      <w:sz w:val="18"/>
      <w:szCs w:val="18"/>
    </w:rPr>
  </w:style>
  <w:style w:type="character" w:customStyle="1" w:styleId="193">
    <w:name w:val="标准文件_段 Char"/>
    <w:link w:val="65"/>
    <w:qFormat/>
    <w:uiPriority w:val="0"/>
    <w:rPr>
      <w:rFonts w:ascii="宋体" w:hAnsi="Times New Roman"/>
      <w:sz w:val="21"/>
    </w:rPr>
  </w:style>
  <w:style w:type="paragraph" w:customStyle="1" w:styleId="194">
    <w:name w:val="标准文件_表格续"/>
    <w:basedOn w:val="65"/>
    <w:next w:val="65"/>
    <w:qFormat/>
    <w:uiPriority w:val="0"/>
    <w:pPr>
      <w:jc w:val="center"/>
    </w:pPr>
    <w:rPr>
      <w:rFonts w:ascii="黑体" w:hAnsi="黑体" w:eastAsia="黑体"/>
    </w:rPr>
  </w:style>
  <w:style w:type="character" w:styleId="195">
    <w:name w:val="Placeholder Text"/>
    <w:semiHidden/>
    <w:qFormat/>
    <w:uiPriority w:val="99"/>
    <w:rPr>
      <w:color w:val="808080"/>
    </w:rPr>
  </w:style>
  <w:style w:type="paragraph" w:customStyle="1" w:styleId="196">
    <w:name w:val="标准文件_二级项2"/>
    <w:basedOn w:val="65"/>
    <w:qFormat/>
    <w:uiPriority w:val="0"/>
    <w:pPr>
      <w:numPr>
        <w:ilvl w:val="1"/>
        <w:numId w:val="20"/>
      </w:numPr>
      <w:ind w:left="1271" w:hanging="420" w:firstLineChars="0"/>
    </w:pPr>
  </w:style>
  <w:style w:type="paragraph" w:customStyle="1" w:styleId="197">
    <w:name w:val="标准文件_三级项2"/>
    <w:basedOn w:val="65"/>
    <w:qFormat/>
    <w:uiPriority w:val="0"/>
    <w:pPr>
      <w:numPr>
        <w:ilvl w:val="0"/>
        <w:numId w:val="29"/>
      </w:numPr>
      <w:spacing w:line="300" w:lineRule="exact"/>
      <w:ind w:left="1276" w:hanging="425" w:firstLineChars="0"/>
    </w:pPr>
    <w:rPr>
      <w:rFonts w:ascii="Times New Roman"/>
    </w:rPr>
  </w:style>
  <w:style w:type="paragraph" w:customStyle="1" w:styleId="198">
    <w:name w:val="标准文件_一级项2"/>
    <w:basedOn w:val="65"/>
    <w:qFormat/>
    <w:uiPriority w:val="0"/>
    <w:pPr>
      <w:numPr>
        <w:ilvl w:val="0"/>
        <w:numId w:val="30"/>
      </w:numPr>
      <w:spacing w:line="300" w:lineRule="exact"/>
      <w:ind w:left="1271" w:hanging="420" w:firstLineChars="0"/>
    </w:pPr>
    <w:rPr>
      <w:rFonts w:ascii="Times New Roman"/>
    </w:rPr>
  </w:style>
  <w:style w:type="paragraph" w:customStyle="1" w:styleId="199">
    <w:name w:val="标准文件_提示"/>
    <w:basedOn w:val="65"/>
    <w:next w:val="65"/>
    <w:qFormat/>
    <w:uiPriority w:val="0"/>
    <w:pPr>
      <w:ind w:firstLine="420"/>
    </w:pPr>
    <w:rPr>
      <w:rFonts w:ascii="黑体" w:eastAsia="黑体"/>
    </w:rPr>
  </w:style>
  <w:style w:type="character" w:customStyle="1" w:styleId="200">
    <w:name w:val="标准文件_来源"/>
    <w:qFormat/>
    <w:uiPriority w:val="1"/>
    <w:rPr>
      <w:rFonts w:eastAsia="宋体"/>
      <w:sz w:val="21"/>
    </w:rPr>
  </w:style>
  <w:style w:type="paragraph" w:customStyle="1" w:styleId="201">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02">
    <w:name w:val="其他发布日期"/>
    <w:basedOn w:val="129"/>
    <w:qFormat/>
    <w:uiPriority w:val="0"/>
    <w:pPr>
      <w:framePr w:w="3997" w:h="471" w:hRule="exact" w:hSpace="0" w:vSpace="181" w:wrap="around" w:vAnchor="page" w:hAnchor="page" w:x="1419" w:y="14097"/>
    </w:pPr>
  </w:style>
  <w:style w:type="paragraph" w:customStyle="1" w:styleId="203">
    <w:name w:val="其他实施日期"/>
    <w:basedOn w:val="163"/>
    <w:qFormat/>
    <w:uiPriority w:val="0"/>
    <w:pPr>
      <w:framePr w:w="3997" w:h="471" w:hRule="exact" w:vSpace="181" w:wrap="around" w:vAnchor="page" w:hAnchor="page" w:x="7089" w:y="14097"/>
    </w:pPr>
  </w:style>
  <w:style w:type="paragraph" w:customStyle="1" w:styleId="204">
    <w:name w:val="标准文件_文件编号"/>
    <w:basedOn w:val="65"/>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5">
    <w:name w:val="标准文件_替换文件编号"/>
    <w:basedOn w:val="204"/>
    <w:qFormat/>
    <w:uiPriority w:val="0"/>
    <w:pPr>
      <w:spacing w:before="57"/>
    </w:pPr>
    <w:rPr>
      <w:sz w:val="21"/>
    </w:rPr>
  </w:style>
  <w:style w:type="paragraph" w:customStyle="1" w:styleId="206">
    <w:name w:val="标准文件_文件名称"/>
    <w:basedOn w:val="65"/>
    <w:next w:val="65"/>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7">
    <w:name w:val="标准文件_附录图标号"/>
    <w:basedOn w:val="65"/>
    <w:next w:val="65"/>
    <w:qFormat/>
    <w:uiPriority w:val="0"/>
    <w:pPr>
      <w:numPr>
        <w:ilvl w:val="0"/>
        <w:numId w:val="5"/>
      </w:numPr>
      <w:spacing w:line="14" w:lineRule="exact"/>
      <w:ind w:firstLine="0" w:firstLineChars="0"/>
      <w:jc w:val="center"/>
    </w:pPr>
    <w:rPr>
      <w:rFonts w:ascii="黑体" w:hAnsi="黑体" w:eastAsia="黑体"/>
      <w:vanish/>
      <w:sz w:val="2"/>
      <w:szCs w:val="21"/>
    </w:rPr>
  </w:style>
  <w:style w:type="paragraph" w:customStyle="1" w:styleId="208">
    <w:name w:val="标准文件_附录表标号"/>
    <w:basedOn w:val="65"/>
    <w:next w:val="65"/>
    <w:qFormat/>
    <w:uiPriority w:val="0"/>
    <w:pPr>
      <w:numPr>
        <w:ilvl w:val="0"/>
        <w:numId w:val="4"/>
      </w:numPr>
      <w:spacing w:line="14" w:lineRule="exact"/>
      <w:ind w:firstLine="0" w:firstLineChars="0"/>
      <w:jc w:val="center"/>
    </w:pPr>
    <w:rPr>
      <w:rFonts w:eastAsia="黑体"/>
      <w:vanish/>
      <w:sz w:val="2"/>
    </w:rPr>
  </w:style>
  <w:style w:type="paragraph" w:customStyle="1" w:styleId="209">
    <w:name w:val="标准文件_引言一级条标题"/>
    <w:basedOn w:val="65"/>
    <w:next w:val="65"/>
    <w:qFormat/>
    <w:uiPriority w:val="0"/>
    <w:pPr>
      <w:numPr>
        <w:ilvl w:val="1"/>
        <w:numId w:val="7"/>
      </w:numPr>
      <w:spacing w:beforeLines="50" w:afterLines="50"/>
      <w:ind w:firstLineChars="0"/>
    </w:pPr>
    <w:rPr>
      <w:rFonts w:ascii="黑体" w:eastAsia="黑体"/>
    </w:rPr>
  </w:style>
  <w:style w:type="paragraph" w:customStyle="1" w:styleId="210">
    <w:name w:val="标准文件_引言二级条标题"/>
    <w:basedOn w:val="65"/>
    <w:next w:val="65"/>
    <w:qFormat/>
    <w:uiPriority w:val="0"/>
    <w:pPr>
      <w:numPr>
        <w:ilvl w:val="2"/>
        <w:numId w:val="7"/>
      </w:numPr>
      <w:spacing w:beforeLines="50" w:afterLines="50"/>
      <w:ind w:firstLineChars="0"/>
    </w:pPr>
    <w:rPr>
      <w:rFonts w:ascii="黑体" w:eastAsia="黑体"/>
    </w:rPr>
  </w:style>
  <w:style w:type="paragraph" w:customStyle="1" w:styleId="211">
    <w:name w:val="标准文件_引言三级条标题"/>
    <w:basedOn w:val="65"/>
    <w:next w:val="65"/>
    <w:qFormat/>
    <w:uiPriority w:val="0"/>
    <w:pPr>
      <w:numPr>
        <w:ilvl w:val="3"/>
        <w:numId w:val="7"/>
      </w:numPr>
      <w:spacing w:beforeLines="50" w:afterLines="50"/>
      <w:ind w:firstLineChars="0"/>
    </w:pPr>
    <w:rPr>
      <w:rFonts w:ascii="黑体" w:eastAsia="黑体"/>
    </w:rPr>
  </w:style>
  <w:style w:type="paragraph" w:customStyle="1" w:styleId="212">
    <w:name w:val="标准文件_引言四级条标题"/>
    <w:basedOn w:val="65"/>
    <w:next w:val="65"/>
    <w:qFormat/>
    <w:uiPriority w:val="0"/>
    <w:pPr>
      <w:numPr>
        <w:ilvl w:val="4"/>
        <w:numId w:val="7"/>
      </w:numPr>
      <w:spacing w:beforeLines="50" w:afterLines="50"/>
      <w:ind w:firstLineChars="0"/>
    </w:pPr>
    <w:rPr>
      <w:rFonts w:ascii="黑体" w:eastAsia="黑体"/>
    </w:rPr>
  </w:style>
  <w:style w:type="paragraph" w:customStyle="1" w:styleId="213">
    <w:name w:val="标准文件_引言五级条标题"/>
    <w:basedOn w:val="65"/>
    <w:next w:val="65"/>
    <w:qFormat/>
    <w:uiPriority w:val="0"/>
    <w:pPr>
      <w:numPr>
        <w:ilvl w:val="5"/>
        <w:numId w:val="7"/>
      </w:numPr>
      <w:spacing w:beforeLines="50" w:afterLines="50"/>
      <w:ind w:firstLineChars="0"/>
    </w:pPr>
    <w:rPr>
      <w:rFonts w:ascii="黑体" w:eastAsia="黑体"/>
    </w:rPr>
  </w:style>
  <w:style w:type="paragraph" w:customStyle="1" w:styleId="214">
    <w:name w:val="标准文件_注后"/>
    <w:basedOn w:val="65"/>
    <w:qFormat/>
    <w:uiPriority w:val="0"/>
    <w:pPr>
      <w:ind w:left="811" w:firstLine="0" w:firstLineChars="0"/>
    </w:pPr>
    <w:rPr>
      <w:sz w:val="18"/>
    </w:rPr>
  </w:style>
  <w:style w:type="paragraph" w:customStyle="1" w:styleId="215">
    <w:name w:val="标准文件_注X后"/>
    <w:basedOn w:val="65"/>
    <w:qFormat/>
    <w:uiPriority w:val="0"/>
    <w:pPr>
      <w:ind w:left="811" w:firstLine="0" w:firstLineChars="0"/>
    </w:pPr>
    <w:rPr>
      <w:sz w:val="18"/>
    </w:rPr>
  </w:style>
  <w:style w:type="paragraph" w:customStyle="1" w:styleId="216">
    <w:name w:val="标准文件_示例后"/>
    <w:basedOn w:val="65"/>
    <w:qFormat/>
    <w:uiPriority w:val="0"/>
    <w:pPr>
      <w:ind w:left="964" w:firstLine="0" w:firstLineChars="0"/>
    </w:pPr>
    <w:rPr>
      <w:sz w:val="18"/>
    </w:rPr>
  </w:style>
  <w:style w:type="paragraph" w:customStyle="1" w:styleId="217">
    <w:name w:val="标准文件_示例X后"/>
    <w:basedOn w:val="65"/>
    <w:link w:val="218"/>
    <w:qFormat/>
    <w:uiPriority w:val="0"/>
    <w:pPr>
      <w:ind w:left="1049" w:firstLine="0" w:firstLineChars="0"/>
    </w:pPr>
    <w:rPr>
      <w:sz w:val="18"/>
    </w:rPr>
  </w:style>
  <w:style w:type="character" w:customStyle="1" w:styleId="218">
    <w:name w:val="标准文件_示例X后 字符"/>
    <w:link w:val="217"/>
    <w:qFormat/>
    <w:uiPriority w:val="0"/>
    <w:rPr>
      <w:rFonts w:ascii="宋体" w:hAnsi="Times New Roman"/>
      <w:sz w:val="18"/>
    </w:rPr>
  </w:style>
  <w:style w:type="paragraph" w:customStyle="1" w:styleId="219">
    <w:name w:val="标准文件_索引项"/>
    <w:basedOn w:val="65"/>
    <w:next w:val="65"/>
    <w:qFormat/>
    <w:uiPriority w:val="0"/>
    <w:pPr>
      <w:tabs>
        <w:tab w:val="right" w:leader="dot" w:pos="9356"/>
      </w:tabs>
      <w:ind w:left="210" w:hanging="210" w:firstLineChars="0"/>
      <w:jc w:val="left"/>
    </w:pPr>
  </w:style>
  <w:style w:type="paragraph" w:customStyle="1" w:styleId="220">
    <w:name w:val="标准文件_附录一级无标题"/>
    <w:basedOn w:val="87"/>
    <w:qFormat/>
    <w:uiPriority w:val="0"/>
    <w:pPr>
      <w:spacing w:beforeLines="0" w:afterLines="0" w:line="276" w:lineRule="auto"/>
      <w:outlineLvl w:val="9"/>
    </w:pPr>
    <w:rPr>
      <w:rFonts w:ascii="宋体" w:eastAsia="宋体"/>
    </w:rPr>
  </w:style>
  <w:style w:type="paragraph" w:customStyle="1" w:styleId="221">
    <w:name w:val="标准文件_附录二级无标题"/>
    <w:basedOn w:val="88"/>
    <w:qFormat/>
    <w:uiPriority w:val="0"/>
    <w:pPr>
      <w:spacing w:beforeLines="0" w:afterLines="0" w:line="276" w:lineRule="auto"/>
      <w:outlineLvl w:val="9"/>
    </w:pPr>
    <w:rPr>
      <w:rFonts w:ascii="宋体" w:eastAsia="宋体"/>
    </w:rPr>
  </w:style>
  <w:style w:type="paragraph" w:customStyle="1" w:styleId="222">
    <w:name w:val="标准文件_附录三级无标题"/>
    <w:basedOn w:val="90"/>
    <w:qFormat/>
    <w:uiPriority w:val="0"/>
    <w:pPr>
      <w:spacing w:beforeLines="0" w:afterLines="0" w:line="276" w:lineRule="auto"/>
      <w:outlineLvl w:val="9"/>
    </w:pPr>
    <w:rPr>
      <w:rFonts w:ascii="宋体" w:eastAsia="宋体"/>
    </w:rPr>
  </w:style>
  <w:style w:type="paragraph" w:customStyle="1" w:styleId="223">
    <w:name w:val="标准文件_附录四级无标题"/>
    <w:basedOn w:val="91"/>
    <w:qFormat/>
    <w:uiPriority w:val="0"/>
    <w:pPr>
      <w:spacing w:beforeLines="0" w:afterLines="0" w:line="276" w:lineRule="auto"/>
      <w:outlineLvl w:val="9"/>
    </w:pPr>
    <w:rPr>
      <w:rFonts w:ascii="宋体" w:eastAsia="宋体"/>
    </w:rPr>
  </w:style>
  <w:style w:type="paragraph" w:customStyle="1" w:styleId="224">
    <w:name w:val="标准文件_附录五级无标题"/>
    <w:basedOn w:val="93"/>
    <w:qFormat/>
    <w:uiPriority w:val="0"/>
    <w:pPr>
      <w:spacing w:beforeLines="0" w:afterLines="0" w:line="276" w:lineRule="auto"/>
      <w:outlineLvl w:val="9"/>
    </w:pPr>
    <w:rPr>
      <w:rFonts w:ascii="宋体" w:eastAsia="宋体"/>
    </w:rPr>
  </w:style>
  <w:style w:type="paragraph" w:customStyle="1" w:styleId="225">
    <w:name w:val="标准文件_引言一级无标题"/>
    <w:basedOn w:val="209"/>
    <w:next w:val="65"/>
    <w:qFormat/>
    <w:uiPriority w:val="0"/>
    <w:pPr>
      <w:spacing w:beforeLines="0" w:afterLines="0" w:line="276" w:lineRule="auto"/>
    </w:pPr>
    <w:rPr>
      <w:rFonts w:ascii="宋体" w:eastAsia="宋体"/>
    </w:rPr>
  </w:style>
  <w:style w:type="paragraph" w:customStyle="1" w:styleId="226">
    <w:name w:val="标准文件_引言二级无标题"/>
    <w:basedOn w:val="210"/>
    <w:next w:val="65"/>
    <w:qFormat/>
    <w:uiPriority w:val="0"/>
    <w:pPr>
      <w:spacing w:beforeLines="0" w:afterLines="0" w:line="276" w:lineRule="auto"/>
    </w:pPr>
    <w:rPr>
      <w:rFonts w:ascii="宋体" w:eastAsia="宋体"/>
    </w:rPr>
  </w:style>
  <w:style w:type="paragraph" w:customStyle="1" w:styleId="227">
    <w:name w:val="标准文件_引言三级无标题"/>
    <w:basedOn w:val="211"/>
    <w:next w:val="65"/>
    <w:qFormat/>
    <w:uiPriority w:val="0"/>
    <w:pPr>
      <w:spacing w:beforeLines="0" w:afterLines="0" w:line="276" w:lineRule="auto"/>
    </w:pPr>
    <w:rPr>
      <w:rFonts w:ascii="宋体" w:eastAsia="宋体"/>
    </w:rPr>
  </w:style>
  <w:style w:type="paragraph" w:customStyle="1" w:styleId="228">
    <w:name w:val="标准文件_引言四级无标题"/>
    <w:basedOn w:val="212"/>
    <w:next w:val="65"/>
    <w:qFormat/>
    <w:uiPriority w:val="0"/>
    <w:pPr>
      <w:spacing w:beforeLines="0" w:afterLines="0" w:line="276" w:lineRule="auto"/>
    </w:pPr>
    <w:rPr>
      <w:rFonts w:ascii="宋体" w:eastAsia="宋体"/>
    </w:rPr>
  </w:style>
  <w:style w:type="paragraph" w:customStyle="1" w:styleId="229">
    <w:name w:val="标准文件_引言五级无标题"/>
    <w:basedOn w:val="213"/>
    <w:next w:val="65"/>
    <w:qFormat/>
    <w:uiPriority w:val="0"/>
    <w:pPr>
      <w:spacing w:beforeLines="0" w:afterLines="0" w:line="276" w:lineRule="auto"/>
    </w:pPr>
    <w:rPr>
      <w:rFonts w:ascii="宋体" w:eastAsia="宋体"/>
    </w:rPr>
  </w:style>
  <w:style w:type="paragraph" w:customStyle="1" w:styleId="230">
    <w:name w:val="标准文件_索引标题"/>
    <w:basedOn w:val="72"/>
    <w:next w:val="65"/>
    <w:qFormat/>
    <w:uiPriority w:val="0"/>
    <w:rPr>
      <w:rFonts w:hAnsi="黑体"/>
    </w:rPr>
  </w:style>
  <w:style w:type="paragraph" w:customStyle="1" w:styleId="231">
    <w:name w:val="标准文件_脚注内容"/>
    <w:basedOn w:val="65"/>
    <w:qFormat/>
    <w:uiPriority w:val="0"/>
    <w:pPr>
      <w:ind w:left="400" w:leftChars="200" w:hanging="200" w:hangingChars="200"/>
    </w:pPr>
    <w:rPr>
      <w:sz w:val="15"/>
    </w:rPr>
  </w:style>
  <w:style w:type="paragraph" w:customStyle="1" w:styleId="232">
    <w:name w:val="标准文件_术语条一"/>
    <w:basedOn w:val="171"/>
    <w:next w:val="65"/>
    <w:qFormat/>
    <w:uiPriority w:val="0"/>
  </w:style>
  <w:style w:type="paragraph" w:customStyle="1" w:styleId="233">
    <w:name w:val="标准文件_术语条二"/>
    <w:basedOn w:val="174"/>
    <w:next w:val="65"/>
    <w:qFormat/>
    <w:uiPriority w:val="0"/>
  </w:style>
  <w:style w:type="paragraph" w:customStyle="1" w:styleId="234">
    <w:name w:val="标准文件_术语条三"/>
    <w:basedOn w:val="173"/>
    <w:next w:val="65"/>
    <w:qFormat/>
    <w:uiPriority w:val="0"/>
  </w:style>
  <w:style w:type="paragraph" w:customStyle="1" w:styleId="235">
    <w:name w:val="标准文件_术语条四"/>
    <w:basedOn w:val="176"/>
    <w:next w:val="65"/>
    <w:qFormat/>
    <w:uiPriority w:val="0"/>
  </w:style>
  <w:style w:type="paragraph" w:customStyle="1" w:styleId="236">
    <w:name w:val="标准文件_术语条五"/>
    <w:basedOn w:val="172"/>
    <w:next w:val="65"/>
    <w:qFormat/>
    <w:uiPriority w:val="0"/>
  </w:style>
  <w:style w:type="paragraph" w:customStyle="1" w:styleId="23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8">
    <w:name w:val="发布"/>
    <w:qFormat/>
    <w:uiPriority w:val="0"/>
    <w:rPr>
      <w:rFonts w:ascii="黑体" w:eastAsia="黑体"/>
      <w:spacing w:val="85"/>
      <w:w w:val="100"/>
      <w:position w:val="3"/>
      <w:sz w:val="28"/>
      <w:szCs w:val="28"/>
    </w:rPr>
  </w:style>
  <w:style w:type="paragraph" w:customStyle="1" w:styleId="239">
    <w:name w:val="示例内容"/>
    <w:qFormat/>
    <w:uiPriority w:val="0"/>
    <w:pPr>
      <w:ind w:firstLine="200" w:firstLineChars="200"/>
    </w:pPr>
    <w:rPr>
      <w:rFonts w:ascii="宋体" w:hAnsi="Times New Roman" w:eastAsia="宋体" w:cs="Times New Roman"/>
      <w:sz w:val="18"/>
      <w:szCs w:val="18"/>
      <w:lang w:val="en-US" w:eastAsia="zh-CN" w:bidi="ar-SA"/>
    </w:rPr>
  </w:style>
  <w:style w:type="character" w:customStyle="1" w:styleId="240">
    <w:name w:val="段 Char"/>
    <w:link w:val="241"/>
    <w:qFormat/>
    <w:locked/>
    <w:uiPriority w:val="99"/>
    <w:rPr>
      <w:rFonts w:ascii="宋体" w:hAnsi="宋体"/>
      <w:sz w:val="21"/>
    </w:rPr>
  </w:style>
  <w:style w:type="paragraph" w:customStyle="1" w:styleId="241">
    <w:name w:val="段"/>
    <w:link w:val="240"/>
    <w:qFormat/>
    <w:uiPriority w:val="0"/>
    <w:pPr>
      <w:tabs>
        <w:tab w:val="center" w:pos="4201"/>
        <w:tab w:val="right" w:leader="dot" w:pos="9298"/>
      </w:tabs>
      <w:autoSpaceDE w:val="0"/>
      <w:autoSpaceDN w:val="0"/>
      <w:ind w:firstLine="420" w:firstLineChars="200"/>
      <w:jc w:val="both"/>
    </w:pPr>
    <w:rPr>
      <w:rFonts w:ascii="宋体" w:hAnsi="宋体" w:eastAsia="宋体" w:cs="Times New Roman"/>
      <w:sz w:val="21"/>
      <w:lang w:val="en-US" w:eastAsia="zh-CN" w:bidi="ar-SA"/>
    </w:rPr>
  </w:style>
  <w:style w:type="paragraph" w:customStyle="1" w:styleId="242">
    <w:name w:val="_Style 23"/>
    <w:basedOn w:val="1"/>
    <w:qFormat/>
    <w:uiPriority w:val="0"/>
    <w:pPr>
      <w:widowControl/>
      <w:adjustRightInd/>
      <w:spacing w:after="160" w:line="240" w:lineRule="exact"/>
    </w:pPr>
    <w:rPr>
      <w:rFonts w:ascii="Verdana" w:hAnsi="Verdana" w:eastAsia="仿宋_GB2312" w:cs="”“Times New Roman”“"/>
      <w:kern w:val="0"/>
      <w:sz w:val="24"/>
      <w:szCs w:val="20"/>
      <w:lang w:eastAsia="en-US"/>
    </w:rPr>
  </w:style>
  <w:style w:type="paragraph" w:customStyle="1" w:styleId="243">
    <w:name w:val="示例"/>
    <w:next w:val="239"/>
    <w:link w:val="273"/>
    <w:qFormat/>
    <w:uiPriority w:val="0"/>
    <w:pPr>
      <w:widowControl w:val="0"/>
      <w:ind w:firstLine="363"/>
      <w:jc w:val="both"/>
    </w:pPr>
    <w:rPr>
      <w:rFonts w:ascii="宋体" w:hAnsi="Calibri" w:eastAsia="宋体" w:cs="Times New Roman"/>
      <w:sz w:val="18"/>
      <w:szCs w:val="18"/>
      <w:lang w:val="en-US" w:eastAsia="zh-CN" w:bidi="ar-SA"/>
    </w:rPr>
  </w:style>
  <w:style w:type="paragraph" w:customStyle="1" w:styleId="244">
    <w:name w:val="注：（正文）"/>
    <w:basedOn w:val="245"/>
    <w:next w:val="241"/>
    <w:qFormat/>
    <w:uiPriority w:val="0"/>
  </w:style>
  <w:style w:type="paragraph" w:customStyle="1" w:styleId="245">
    <w:name w:val="注："/>
    <w:next w:val="241"/>
    <w:qFormat/>
    <w:uiPriority w:val="0"/>
    <w:pPr>
      <w:widowControl w:val="0"/>
      <w:autoSpaceDE w:val="0"/>
      <w:autoSpaceDN w:val="0"/>
      <w:ind w:left="726" w:hanging="363"/>
      <w:jc w:val="both"/>
    </w:pPr>
    <w:rPr>
      <w:rFonts w:ascii="宋体" w:hAnsi="Calibri" w:eastAsia="宋体" w:cs="Times New Roman"/>
      <w:sz w:val="18"/>
      <w:szCs w:val="18"/>
      <w:lang w:val="en-US" w:eastAsia="zh-CN" w:bidi="ar-SA"/>
    </w:rPr>
  </w:style>
  <w:style w:type="character" w:customStyle="1" w:styleId="246">
    <w:name w:val="纯文本 字符"/>
    <w:link w:val="18"/>
    <w:qFormat/>
    <w:uiPriority w:val="99"/>
    <w:rPr>
      <w:rFonts w:ascii="宋体" w:hAnsi="Courier New"/>
      <w:kern w:val="2"/>
      <w:sz w:val="21"/>
    </w:rPr>
  </w:style>
  <w:style w:type="paragraph" w:styleId="247">
    <w:name w:val="List Paragraph"/>
    <w:basedOn w:val="1"/>
    <w:link w:val="248"/>
    <w:qFormat/>
    <w:uiPriority w:val="34"/>
    <w:pPr>
      <w:adjustRightInd/>
      <w:spacing w:line="240" w:lineRule="auto"/>
      <w:ind w:firstLine="420" w:firstLineChars="200"/>
    </w:pPr>
    <w:rPr>
      <w:rFonts w:cs="Calibri"/>
    </w:rPr>
  </w:style>
  <w:style w:type="character" w:customStyle="1" w:styleId="248">
    <w:name w:val="列表段落 字符"/>
    <w:link w:val="247"/>
    <w:qFormat/>
    <w:uiPriority w:val="34"/>
    <w:rPr>
      <w:rFonts w:cs="Calibri"/>
      <w:kern w:val="2"/>
      <w:sz w:val="21"/>
      <w:szCs w:val="21"/>
    </w:rPr>
  </w:style>
  <w:style w:type="paragraph" w:customStyle="1" w:styleId="249">
    <w:name w:val="正文表标题"/>
    <w:basedOn w:val="1"/>
    <w:next w:val="1"/>
    <w:link w:val="250"/>
    <w:qFormat/>
    <w:uiPriority w:val="0"/>
    <w:pPr>
      <w:numPr>
        <w:ilvl w:val="0"/>
        <w:numId w:val="31"/>
      </w:numPr>
      <w:spacing w:beforeLines="50" w:afterLines="50" w:line="240" w:lineRule="auto"/>
      <w:jc w:val="center"/>
    </w:pPr>
    <w:rPr>
      <w:rFonts w:ascii="Times New Roman" w:hAnsi="Times New Roman" w:eastAsia="黑体" w:cs="Calibri"/>
    </w:rPr>
  </w:style>
  <w:style w:type="character" w:customStyle="1" w:styleId="250">
    <w:name w:val="正文表标题 字符"/>
    <w:link w:val="249"/>
    <w:qFormat/>
    <w:uiPriority w:val="0"/>
    <w:rPr>
      <w:rFonts w:ascii="Times New Roman" w:hAnsi="Times New Roman" w:eastAsia="黑体" w:cs="Calibri"/>
      <w:kern w:val="2"/>
      <w:sz w:val="21"/>
      <w:szCs w:val="21"/>
    </w:rPr>
  </w:style>
  <w:style w:type="paragraph" w:customStyle="1" w:styleId="251">
    <w:name w:val="正文1"/>
    <w:qFormat/>
    <w:uiPriority w:val="0"/>
    <w:pPr>
      <w:jc w:val="both"/>
    </w:pPr>
    <w:rPr>
      <w:rFonts w:ascii="Calibri" w:hAnsi="Calibri" w:eastAsia="宋体" w:cs="宋体"/>
      <w:kern w:val="2"/>
      <w:sz w:val="21"/>
      <w:szCs w:val="21"/>
      <w:lang w:val="en-US" w:eastAsia="zh-CN" w:bidi="ar-SA"/>
    </w:rPr>
  </w:style>
  <w:style w:type="paragraph" w:customStyle="1" w:styleId="252">
    <w:name w:val="修订1"/>
    <w:hidden/>
    <w:semiHidden/>
    <w:qFormat/>
    <w:uiPriority w:val="99"/>
    <w:rPr>
      <w:rFonts w:ascii="Calibri" w:hAnsi="Calibri" w:eastAsia="宋体" w:cs="Times New Roman"/>
      <w:kern w:val="2"/>
      <w:sz w:val="21"/>
      <w:szCs w:val="21"/>
      <w:lang w:val="en-US" w:eastAsia="zh-CN" w:bidi="ar-SA"/>
    </w:rPr>
  </w:style>
  <w:style w:type="character" w:customStyle="1" w:styleId="253">
    <w:name w:val="批注文字 字符"/>
    <w:link w:val="14"/>
    <w:qFormat/>
    <w:uiPriority w:val="0"/>
    <w:rPr>
      <w:kern w:val="2"/>
      <w:sz w:val="21"/>
      <w:szCs w:val="21"/>
    </w:rPr>
  </w:style>
  <w:style w:type="character" w:customStyle="1" w:styleId="254">
    <w:name w:val="批注主题 字符"/>
    <w:link w:val="32"/>
    <w:semiHidden/>
    <w:qFormat/>
    <w:uiPriority w:val="99"/>
    <w:rPr>
      <w:b/>
      <w:bCs/>
      <w:kern w:val="2"/>
      <w:sz w:val="21"/>
      <w:szCs w:val="21"/>
    </w:rPr>
  </w:style>
  <w:style w:type="paragraph" w:customStyle="1" w:styleId="255">
    <w:name w:val="一级条标题"/>
    <w:next w:val="241"/>
    <w:link w:val="288"/>
    <w:qFormat/>
    <w:uiPriority w:val="0"/>
    <w:pPr>
      <w:numPr>
        <w:ilvl w:val="1"/>
        <w:numId w:val="32"/>
      </w:numPr>
      <w:spacing w:beforeLines="50" w:afterLines="50"/>
      <w:outlineLvl w:val="2"/>
    </w:pPr>
    <w:rPr>
      <w:rFonts w:ascii="黑体" w:hAnsi="Calibri" w:eastAsia="黑体" w:cs="Times New Roman"/>
      <w:sz w:val="21"/>
      <w:szCs w:val="21"/>
      <w:lang w:val="en-US" w:eastAsia="zh-CN" w:bidi="ar-SA"/>
    </w:rPr>
  </w:style>
  <w:style w:type="paragraph" w:customStyle="1" w:styleId="256">
    <w:name w:val="二级条标题"/>
    <w:basedOn w:val="255"/>
    <w:next w:val="241"/>
    <w:link w:val="266"/>
    <w:qFormat/>
    <w:uiPriority w:val="0"/>
    <w:pPr>
      <w:numPr>
        <w:ilvl w:val="2"/>
      </w:numPr>
      <w:spacing w:before="50" w:after="50"/>
      <w:outlineLvl w:val="3"/>
    </w:pPr>
  </w:style>
  <w:style w:type="paragraph" w:customStyle="1" w:styleId="257">
    <w:name w:val="二级无"/>
    <w:basedOn w:val="256"/>
    <w:qFormat/>
    <w:uiPriority w:val="0"/>
    <w:pPr>
      <w:spacing w:beforeLines="0" w:afterLines="0"/>
    </w:pPr>
    <w:rPr>
      <w:rFonts w:ascii="宋体" w:eastAsia="宋体"/>
    </w:rPr>
  </w:style>
  <w:style w:type="paragraph" w:customStyle="1" w:styleId="258">
    <w:name w:val="_Style 253"/>
    <w:basedOn w:val="1"/>
    <w:next w:val="1"/>
    <w:qFormat/>
    <w:uiPriority w:val="39"/>
    <w:pPr>
      <w:tabs>
        <w:tab w:val="right" w:leader="dot" w:pos="9241"/>
      </w:tabs>
      <w:adjustRightInd/>
      <w:spacing w:before="25" w:beforeLines="25" w:after="25" w:afterLines="25" w:line="240" w:lineRule="auto"/>
    </w:pPr>
    <w:rPr>
      <w:rFonts w:ascii="宋体" w:hAnsi="Times New Roman"/>
    </w:rPr>
  </w:style>
  <w:style w:type="character" w:customStyle="1" w:styleId="259">
    <w:name w:val="日期 字符"/>
    <w:link w:val="20"/>
    <w:semiHidden/>
    <w:qFormat/>
    <w:uiPriority w:val="99"/>
    <w:rPr>
      <w:kern w:val="2"/>
      <w:sz w:val="21"/>
      <w:szCs w:val="21"/>
    </w:rPr>
  </w:style>
  <w:style w:type="paragraph" w:customStyle="1" w:styleId="260">
    <w:name w:val="标准文本 列项（——）"/>
    <w:basedOn w:val="1"/>
    <w:link w:val="261"/>
    <w:qFormat/>
    <w:uiPriority w:val="0"/>
    <w:pPr>
      <w:widowControl/>
      <w:tabs>
        <w:tab w:val="center" w:pos="4201"/>
        <w:tab w:val="right" w:leader="dot" w:pos="9298"/>
      </w:tabs>
      <w:autoSpaceDE w:val="0"/>
      <w:autoSpaceDN w:val="0"/>
      <w:adjustRightInd/>
      <w:spacing w:line="360" w:lineRule="exact"/>
      <w:ind w:left="200" w:leftChars="200" w:hanging="198" w:hangingChars="200"/>
    </w:pPr>
    <w:rPr>
      <w:rFonts w:ascii="Times New Roman" w:hAnsi="Times New Roman" w:cs="黑体"/>
      <w:kern w:val="0"/>
    </w:rPr>
  </w:style>
  <w:style w:type="character" w:customStyle="1" w:styleId="261">
    <w:name w:val="标准文本 列项（——） 字符"/>
    <w:link w:val="260"/>
    <w:qFormat/>
    <w:uiPriority w:val="0"/>
    <w:rPr>
      <w:rFonts w:ascii="Times New Roman" w:hAnsi="Times New Roman" w:cs="黑体"/>
      <w:sz w:val="21"/>
      <w:szCs w:val="21"/>
    </w:rPr>
  </w:style>
  <w:style w:type="paragraph" w:customStyle="1" w:styleId="262">
    <w:name w:val="1章标题"/>
    <w:next w:val="65"/>
    <w:qFormat/>
    <w:uiPriority w:val="99"/>
    <w:pPr>
      <w:spacing w:beforeLines="50" w:afterLines="50"/>
      <w:jc w:val="both"/>
      <w:outlineLvl w:val="0"/>
    </w:pPr>
    <w:rPr>
      <w:rFonts w:ascii="黑体" w:hAnsi="Times New Roman" w:eastAsia="黑体" w:cs="黑体"/>
      <w:sz w:val="21"/>
      <w:szCs w:val="21"/>
      <w:lang w:val="en-US" w:eastAsia="zh-CN" w:bidi="ar-SA"/>
    </w:rPr>
  </w:style>
  <w:style w:type="paragraph" w:customStyle="1" w:styleId="263">
    <w:name w:val="正文图题"/>
    <w:basedOn w:val="28"/>
    <w:next w:val="241"/>
    <w:qFormat/>
    <w:uiPriority w:val="0"/>
    <w:pPr>
      <w:numPr>
        <w:ilvl w:val="0"/>
        <w:numId w:val="33"/>
      </w:numPr>
      <w:adjustRightInd w:val="0"/>
      <w:spacing w:before="50" w:beforeLines="50" w:after="50" w:afterLines="50"/>
      <w:ind w:left="0" w:firstLine="0"/>
      <w:jc w:val="center"/>
    </w:pPr>
    <w:rPr>
      <w:rFonts w:ascii="Times New Roman" w:hAnsi="Times New Roman" w:eastAsia="黑体" w:cs="Calibri"/>
      <w:szCs w:val="21"/>
    </w:rPr>
  </w:style>
  <w:style w:type="character" w:customStyle="1" w:styleId="264">
    <w:name w:val="图表目录 字符"/>
    <w:link w:val="28"/>
    <w:qFormat/>
    <w:uiPriority w:val="99"/>
    <w:rPr>
      <w:kern w:val="2"/>
      <w:sz w:val="21"/>
      <w:szCs w:val="24"/>
    </w:rPr>
  </w:style>
  <w:style w:type="character" w:customStyle="1" w:styleId="265">
    <w:name w:val="段 字符"/>
    <w:qFormat/>
    <w:uiPriority w:val="0"/>
    <w:rPr>
      <w:rFonts w:ascii="Times New Roman" w:hAnsi="Times New Roman" w:eastAsia="宋体" w:cs="Calibri"/>
      <w:szCs w:val="21"/>
    </w:rPr>
  </w:style>
  <w:style w:type="character" w:customStyle="1" w:styleId="266">
    <w:name w:val="二级条标题 Char"/>
    <w:link w:val="256"/>
    <w:qFormat/>
    <w:uiPriority w:val="0"/>
    <w:rPr>
      <w:rFonts w:ascii="黑体" w:eastAsia="黑体"/>
      <w:sz w:val="21"/>
      <w:szCs w:val="21"/>
    </w:rPr>
  </w:style>
  <w:style w:type="paragraph" w:customStyle="1" w:styleId="267">
    <w:name w:val="字母列项"/>
    <w:basedOn w:val="247"/>
    <w:next w:val="1"/>
    <w:qFormat/>
    <w:uiPriority w:val="0"/>
    <w:pPr>
      <w:numPr>
        <w:ilvl w:val="0"/>
        <w:numId w:val="34"/>
      </w:numPr>
      <w:tabs>
        <w:tab w:val="left" w:pos="360"/>
      </w:tabs>
      <w:ind w:left="0" w:firstLine="0" w:firstLineChars="0"/>
    </w:pPr>
    <w:rPr>
      <w:rFonts w:ascii="Times New Roman" w:hAnsi="Times New Roman" w:cs="宋体"/>
      <w:kern w:val="0"/>
    </w:rPr>
  </w:style>
  <w:style w:type="paragraph" w:customStyle="1" w:styleId="268">
    <w:name w:val="1级标题【标准文件】"/>
    <w:next w:val="1"/>
    <w:link w:val="269"/>
    <w:qFormat/>
    <w:uiPriority w:val="99"/>
    <w:pPr>
      <w:spacing w:before="312" w:beforeLines="100" w:after="312" w:afterLines="100" w:line="360" w:lineRule="exact"/>
      <w:outlineLvl w:val="0"/>
    </w:pPr>
    <w:rPr>
      <w:rFonts w:ascii="黑体" w:hAnsi="等线" w:eastAsia="黑体" w:cs="Times New Roman"/>
      <w:kern w:val="2"/>
      <w:sz w:val="21"/>
      <w:szCs w:val="21"/>
      <w:lang w:val="en-US" w:eastAsia="zh-CN" w:bidi="ar-SA"/>
    </w:rPr>
  </w:style>
  <w:style w:type="character" w:customStyle="1" w:styleId="269">
    <w:name w:val="1级标题【标准文件】 字符"/>
    <w:link w:val="268"/>
    <w:qFormat/>
    <w:uiPriority w:val="99"/>
    <w:rPr>
      <w:rFonts w:ascii="黑体" w:hAnsi="等线" w:eastAsia="黑体" w:cs="Times New Roman"/>
      <w:kern w:val="2"/>
      <w:sz w:val="21"/>
      <w:szCs w:val="21"/>
    </w:rPr>
  </w:style>
  <w:style w:type="character" w:customStyle="1" w:styleId="270">
    <w:name w:val="2级标题【标准文件】 字符"/>
    <w:link w:val="271"/>
    <w:qFormat/>
    <w:uiPriority w:val="0"/>
    <w:rPr>
      <w:rFonts w:ascii="黑体" w:hAnsi="Times New Roman" w:eastAsia="黑体" w:cs="Times New Roman"/>
      <w:kern w:val="2"/>
      <w:sz w:val="21"/>
      <w:szCs w:val="21"/>
    </w:rPr>
  </w:style>
  <w:style w:type="paragraph" w:customStyle="1" w:styleId="271">
    <w:name w:val="2级标题【标准文件】"/>
    <w:basedOn w:val="268"/>
    <w:link w:val="270"/>
    <w:qFormat/>
    <w:uiPriority w:val="0"/>
    <w:pPr>
      <w:spacing w:before="156" w:beforeLines="50" w:after="156" w:afterLines="50"/>
      <w:outlineLvl w:val="1"/>
    </w:pPr>
    <w:rPr>
      <w:rFonts w:hAnsi="Times New Roman"/>
      <w:kern w:val="0"/>
    </w:rPr>
  </w:style>
  <w:style w:type="paragraph" w:customStyle="1" w:styleId="272">
    <w:name w:val="列表段落1"/>
    <w:basedOn w:val="1"/>
    <w:qFormat/>
    <w:uiPriority w:val="0"/>
    <w:pPr>
      <w:adjustRightInd/>
      <w:spacing w:line="240" w:lineRule="auto"/>
      <w:ind w:firstLine="420" w:firstLineChars="200"/>
    </w:pPr>
    <w:rPr>
      <w:rFonts w:cs="Calibri"/>
    </w:rPr>
  </w:style>
  <w:style w:type="character" w:customStyle="1" w:styleId="273">
    <w:name w:val="示例 Char"/>
    <w:link w:val="243"/>
    <w:qFormat/>
    <w:uiPriority w:val="0"/>
    <w:rPr>
      <w:rFonts w:ascii="宋体" w:hAnsi="宋体"/>
      <w:sz w:val="18"/>
      <w:szCs w:val="18"/>
    </w:rPr>
  </w:style>
  <w:style w:type="paragraph" w:customStyle="1" w:styleId="274">
    <w:name w:val="修订2"/>
    <w:hidden/>
    <w:semiHidden/>
    <w:qFormat/>
    <w:uiPriority w:val="99"/>
    <w:rPr>
      <w:rFonts w:ascii="Calibri" w:hAnsi="Calibri" w:eastAsia="宋体" w:cs="Times New Roman"/>
      <w:kern w:val="2"/>
      <w:sz w:val="21"/>
      <w:szCs w:val="21"/>
      <w:lang w:val="en-US" w:eastAsia="zh-CN" w:bidi="ar-SA"/>
    </w:rPr>
  </w:style>
  <w:style w:type="paragraph" w:customStyle="1" w:styleId="275">
    <w:name w:val="3级条标题【标准文件】"/>
    <w:basedOn w:val="1"/>
    <w:link w:val="276"/>
    <w:qFormat/>
    <w:uiPriority w:val="0"/>
    <w:pPr>
      <w:adjustRightInd/>
      <w:spacing w:line="240" w:lineRule="auto"/>
      <w:jc w:val="both"/>
      <w:outlineLvl w:val="3"/>
    </w:pPr>
    <w:rPr>
      <w:rFonts w:ascii="等线" w:hAnsi="等线" w:eastAsia="等线"/>
    </w:rPr>
  </w:style>
  <w:style w:type="character" w:customStyle="1" w:styleId="276">
    <w:name w:val="3级条标题【标准文件】 字符"/>
    <w:link w:val="275"/>
    <w:qFormat/>
    <w:uiPriority w:val="0"/>
    <w:rPr>
      <w:rFonts w:ascii="等线" w:hAnsi="等线" w:eastAsia="等线"/>
      <w:kern w:val="2"/>
      <w:sz w:val="21"/>
      <w:szCs w:val="21"/>
    </w:rPr>
  </w:style>
  <w:style w:type="paragraph" w:customStyle="1" w:styleId="277">
    <w:name w:val="字母列项【标准文件】"/>
    <w:basedOn w:val="247"/>
    <w:next w:val="1"/>
    <w:link w:val="278"/>
    <w:qFormat/>
    <w:uiPriority w:val="0"/>
    <w:pPr>
      <w:tabs>
        <w:tab w:val="left" w:pos="105"/>
      </w:tabs>
      <w:ind w:firstLine="0" w:firstLineChars="0"/>
    </w:pPr>
    <w:rPr>
      <w:rFonts w:ascii="Times New Roman" w:hAnsi="Times New Roman" w:cs="宋体"/>
      <w:kern w:val="0"/>
    </w:rPr>
  </w:style>
  <w:style w:type="character" w:customStyle="1" w:styleId="278">
    <w:name w:val="字母列项【标准文件】 字符"/>
    <w:link w:val="277"/>
    <w:qFormat/>
    <w:uiPriority w:val="0"/>
    <w:rPr>
      <w:rFonts w:ascii="Times New Roman" w:hAnsi="Times New Roman" w:cs="宋体"/>
      <w:sz w:val="21"/>
      <w:szCs w:val="21"/>
    </w:rPr>
  </w:style>
  <w:style w:type="paragraph" w:customStyle="1" w:styleId="279">
    <w:name w:val="修订3"/>
    <w:hidden/>
    <w:unhideWhenUsed/>
    <w:qFormat/>
    <w:uiPriority w:val="99"/>
    <w:rPr>
      <w:rFonts w:ascii="Calibri" w:hAnsi="Calibri" w:eastAsia="宋体" w:cs="Times New Roman"/>
      <w:kern w:val="2"/>
      <w:sz w:val="21"/>
      <w:szCs w:val="21"/>
      <w:lang w:val="en-US" w:eastAsia="zh-CN" w:bidi="ar-SA"/>
    </w:rPr>
  </w:style>
  <w:style w:type="character" w:customStyle="1" w:styleId="280">
    <w:name w:val="未处理的提及1"/>
    <w:basedOn w:val="35"/>
    <w:semiHidden/>
    <w:unhideWhenUsed/>
    <w:qFormat/>
    <w:uiPriority w:val="99"/>
    <w:rPr>
      <w:color w:val="605E5C"/>
      <w:shd w:val="clear" w:color="auto" w:fill="E1DFDD"/>
    </w:rPr>
  </w:style>
  <w:style w:type="character" w:customStyle="1" w:styleId="281">
    <w:name w:val="标准文件_二级条标题 字符"/>
    <w:basedOn w:val="35"/>
    <w:link w:val="74"/>
    <w:qFormat/>
    <w:uiPriority w:val="0"/>
    <w:rPr>
      <w:rFonts w:ascii="黑体" w:eastAsia="黑体"/>
      <w:sz w:val="21"/>
    </w:rPr>
  </w:style>
  <w:style w:type="character" w:customStyle="1" w:styleId="282">
    <w:name w:val="标准文件_一级条标题 字符"/>
    <w:basedOn w:val="35"/>
    <w:link w:val="114"/>
    <w:qFormat/>
    <w:uiPriority w:val="0"/>
    <w:rPr>
      <w:rFonts w:ascii="黑体" w:eastAsia="黑体"/>
      <w:sz w:val="21"/>
    </w:rPr>
  </w:style>
  <w:style w:type="paragraph" w:customStyle="1" w:styleId="283">
    <w:name w:val="段【标准文件】"/>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284">
    <w:name w:val="修订4"/>
    <w:hidden/>
    <w:unhideWhenUsed/>
    <w:qFormat/>
    <w:uiPriority w:val="99"/>
    <w:rPr>
      <w:rFonts w:ascii="Calibri" w:hAnsi="Calibri" w:eastAsia="宋体" w:cs="Times New Roman"/>
      <w:kern w:val="2"/>
      <w:sz w:val="21"/>
      <w:szCs w:val="21"/>
      <w:lang w:val="en-US" w:eastAsia="zh-CN" w:bidi="ar-SA"/>
    </w:rPr>
  </w:style>
  <w:style w:type="paragraph" w:customStyle="1" w:styleId="285">
    <w:name w:val="修订5"/>
    <w:hidden/>
    <w:unhideWhenUsed/>
    <w:qFormat/>
    <w:uiPriority w:val="99"/>
    <w:rPr>
      <w:rFonts w:ascii="Calibri" w:hAnsi="Calibri" w:eastAsia="宋体" w:cs="Times New Roman"/>
      <w:kern w:val="2"/>
      <w:sz w:val="21"/>
      <w:szCs w:val="21"/>
      <w:lang w:val="en-US" w:eastAsia="zh-CN" w:bidi="ar-SA"/>
    </w:rPr>
  </w:style>
  <w:style w:type="paragraph" w:customStyle="1" w:styleId="286">
    <w:name w:val="修订6"/>
    <w:hidden/>
    <w:unhideWhenUsed/>
    <w:qFormat/>
    <w:uiPriority w:val="99"/>
    <w:rPr>
      <w:rFonts w:ascii="Calibri" w:hAnsi="Calibri" w:eastAsia="宋体" w:cs="Times New Roman"/>
      <w:kern w:val="2"/>
      <w:sz w:val="21"/>
      <w:szCs w:val="21"/>
      <w:lang w:val="en-US" w:eastAsia="zh-CN" w:bidi="ar-SA"/>
    </w:rPr>
  </w:style>
  <w:style w:type="paragraph" w:customStyle="1" w:styleId="287">
    <w:name w:val="修订7"/>
    <w:hidden/>
    <w:unhideWhenUsed/>
    <w:qFormat/>
    <w:uiPriority w:val="99"/>
    <w:rPr>
      <w:rFonts w:ascii="Calibri" w:hAnsi="Calibri" w:eastAsia="宋体" w:cs="Times New Roman"/>
      <w:kern w:val="2"/>
      <w:sz w:val="21"/>
      <w:szCs w:val="21"/>
      <w:lang w:val="en-US" w:eastAsia="zh-CN" w:bidi="ar-SA"/>
    </w:rPr>
  </w:style>
  <w:style w:type="character" w:customStyle="1" w:styleId="288">
    <w:name w:val="一级条标题 Char"/>
    <w:basedOn w:val="35"/>
    <w:link w:val="255"/>
    <w:qFormat/>
    <w:locked/>
    <w:uiPriority w:val="0"/>
    <w:rPr>
      <w:rFonts w:ascii="黑体" w:hAnsi="Calibri" w:eastAsia="黑体"/>
      <w:sz w:val="21"/>
      <w:szCs w:val="21"/>
    </w:rPr>
  </w:style>
  <w:style w:type="paragraph" w:customStyle="1" w:styleId="289">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290">
    <w:name w:val="修订8"/>
    <w:hidden/>
    <w:unhideWhenUsed/>
    <w:qFormat/>
    <w:uiPriority w:val="99"/>
    <w:rPr>
      <w:rFonts w:ascii="Calibri" w:hAnsi="Calibri" w:eastAsia="宋体" w:cs="Times New Roman"/>
      <w:kern w:val="2"/>
      <w:sz w:val="21"/>
      <w:szCs w:val="21"/>
      <w:lang w:val="en-US" w:eastAsia="zh-CN" w:bidi="ar-SA"/>
    </w:rPr>
  </w:style>
  <w:style w:type="paragraph" w:customStyle="1" w:styleId="291">
    <w:name w:val="修订9"/>
    <w:hidden/>
    <w:unhideWhenUsed/>
    <w:qFormat/>
    <w:uiPriority w:val="99"/>
    <w:rPr>
      <w:rFonts w:ascii="Calibri" w:hAnsi="Calibri" w:eastAsia="宋体" w:cs="Times New Roman"/>
      <w:kern w:val="2"/>
      <w:sz w:val="21"/>
      <w:szCs w:val="21"/>
      <w:lang w:val="en-US" w:eastAsia="zh-CN" w:bidi="ar-SA"/>
    </w:rPr>
  </w:style>
  <w:style w:type="paragraph" w:customStyle="1" w:styleId="292">
    <w:name w:val="修订10"/>
    <w:hidden/>
    <w:unhideWhenUsed/>
    <w:qFormat/>
    <w:uiPriority w:val="99"/>
    <w:rPr>
      <w:rFonts w:ascii="Calibri" w:hAnsi="Calibri" w:eastAsia="宋体" w:cs="Times New Roman"/>
      <w:kern w:val="2"/>
      <w:sz w:val="21"/>
      <w:szCs w:val="21"/>
      <w:lang w:val="en-US" w:eastAsia="zh-CN" w:bidi="ar-SA"/>
    </w:rPr>
  </w:style>
  <w:style w:type="character" w:customStyle="1" w:styleId="293">
    <w:name w:val="未处理的提及2"/>
    <w:basedOn w:val="35"/>
    <w:semiHidden/>
    <w:unhideWhenUsed/>
    <w:qFormat/>
    <w:uiPriority w:val="99"/>
    <w:rPr>
      <w:color w:val="605E5C"/>
      <w:shd w:val="clear" w:color="auto" w:fill="E1DFDD"/>
    </w:rPr>
  </w:style>
  <w:style w:type="paragraph" w:customStyle="1" w:styleId="294">
    <w:name w:val="修订11"/>
    <w:hidden/>
    <w:unhideWhenUsed/>
    <w:qFormat/>
    <w:uiPriority w:val="99"/>
    <w:rPr>
      <w:rFonts w:ascii="Calibri" w:hAnsi="Calibri" w:eastAsia="宋体" w:cs="Times New Roman"/>
      <w:kern w:val="2"/>
      <w:sz w:val="21"/>
      <w:szCs w:val="21"/>
      <w:lang w:val="en-US" w:eastAsia="zh-CN" w:bidi="ar-SA"/>
    </w:rPr>
  </w:style>
  <w:style w:type="character" w:customStyle="1" w:styleId="295">
    <w:name w:val="未处理的提及3"/>
    <w:basedOn w:val="35"/>
    <w:semiHidden/>
    <w:unhideWhenUsed/>
    <w:qFormat/>
    <w:uiPriority w:val="99"/>
    <w:rPr>
      <w:color w:val="605E5C"/>
      <w:shd w:val="clear" w:color="auto" w:fill="E1DFDD"/>
    </w:rPr>
  </w:style>
  <w:style w:type="paragraph" w:customStyle="1" w:styleId="296">
    <w:name w:val="修订12"/>
    <w:hidden/>
    <w:unhideWhenUsed/>
    <w:qFormat/>
    <w:uiPriority w:val="99"/>
    <w:rPr>
      <w:rFonts w:ascii="Calibri" w:hAnsi="Calibri" w:eastAsia="宋体" w:cs="Times New Roman"/>
      <w:kern w:val="2"/>
      <w:sz w:val="21"/>
      <w:szCs w:val="21"/>
      <w:lang w:val="en-US" w:eastAsia="zh-CN" w:bidi="ar-SA"/>
    </w:rPr>
  </w:style>
  <w:style w:type="paragraph" w:customStyle="1" w:styleId="297">
    <w:name w:val="修订13"/>
    <w:hidden/>
    <w:unhideWhenUsed/>
    <w:qFormat/>
    <w:uiPriority w:val="99"/>
    <w:rPr>
      <w:rFonts w:ascii="Calibri" w:hAnsi="Calibri" w:eastAsia="宋体" w:cs="Times New Roman"/>
      <w:kern w:val="2"/>
      <w:sz w:val="21"/>
      <w:szCs w:val="21"/>
      <w:lang w:val="en-US" w:eastAsia="zh-CN" w:bidi="ar-SA"/>
    </w:rPr>
  </w:style>
  <w:style w:type="paragraph" w:customStyle="1" w:styleId="298">
    <w:name w:val="正文3"/>
    <w:qFormat/>
    <w:uiPriority w:val="0"/>
    <w:pPr>
      <w:jc w:val="both"/>
    </w:pPr>
    <w:rPr>
      <w:rFonts w:ascii="Times New Roman" w:hAnsi="Times New Roman" w:eastAsia="宋体" w:cs="Times New Roman"/>
      <w:kern w:val="2"/>
      <w:sz w:val="21"/>
      <w:szCs w:val="21"/>
      <w:lang w:val="en-US" w:eastAsia="zh-CN" w:bidi="ar-SA"/>
    </w:rPr>
  </w:style>
  <w:style w:type="paragraph" w:customStyle="1" w:styleId="299">
    <w:name w:val="正文4"/>
    <w:qFormat/>
    <w:uiPriority w:val="0"/>
    <w:pPr>
      <w:jc w:val="both"/>
    </w:pPr>
    <w:rPr>
      <w:rFonts w:ascii="Calibri" w:hAnsi="Calibri" w:eastAsia="宋体" w:cs="Calibri"/>
      <w:kern w:val="2"/>
      <w:sz w:val="21"/>
      <w:szCs w:val="21"/>
      <w:lang w:val="en-US" w:eastAsia="zh-CN" w:bidi="ar-SA"/>
    </w:rPr>
  </w:style>
  <w:style w:type="character" w:customStyle="1" w:styleId="300">
    <w:name w:val="未处理的提及4"/>
    <w:basedOn w:val="35"/>
    <w:semiHidden/>
    <w:unhideWhenUsed/>
    <w:qFormat/>
    <w:uiPriority w:val="99"/>
    <w:rPr>
      <w:color w:val="605E5C"/>
      <w:shd w:val="clear" w:color="auto" w:fill="E1DFDD"/>
    </w:rPr>
  </w:style>
  <w:style w:type="paragraph" w:customStyle="1" w:styleId="301">
    <w:name w:val="修订14"/>
    <w:hidden/>
    <w:unhideWhenUsed/>
    <w:qFormat/>
    <w:uiPriority w:val="99"/>
    <w:rPr>
      <w:rFonts w:ascii="Calibri" w:hAnsi="Calibri" w:eastAsia="宋体" w:cs="Times New Roman"/>
      <w:kern w:val="2"/>
      <w:sz w:val="21"/>
      <w:szCs w:val="21"/>
      <w:lang w:val="en-US" w:eastAsia="zh-CN" w:bidi="ar-SA"/>
    </w:rPr>
  </w:style>
  <w:style w:type="paragraph" w:customStyle="1" w:styleId="302">
    <w:name w:val="Revision"/>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FB8A31-CCE7-49D2-A637-B92C42A8EBE6}">
  <ds:schemaRefs/>
</ds:datastoreItem>
</file>

<file path=docProps/app.xml><?xml version="1.0" encoding="utf-8"?>
<Properties xmlns="http://schemas.openxmlformats.org/officeDocument/2006/extended-properties" xmlns:vt="http://schemas.openxmlformats.org/officeDocument/2006/docPropsVTypes">
  <Template>行业标准</Template>
  <Company>PCMI</Company>
  <Pages>14</Pages>
  <Words>7395</Words>
  <Characters>8465</Characters>
  <Lines>419</Lines>
  <Paragraphs>610</Paragraphs>
  <TotalTime>1</TotalTime>
  <ScaleCrop>false</ScaleCrop>
  <LinksUpToDate>false</LinksUpToDate>
  <CharactersWithSpaces>8869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2022-12-12T02:07:00Z</dcterms:created>
  <dc:creator>bhzhou</dc:creator>
  <cp:lastModifiedBy>霍达</cp:lastModifiedBy>
  <cp:lastPrinted>2022-09-22T13:45:00Z</cp:lastPrinted>
  <dcterms:modified xsi:type="dcterms:W3CDTF">2025-10-14T03:46:13Z</dcterms:modified>
  <dc:title>行业标准</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2052-12.1.0.22529</vt:lpwstr>
  </property>
  <property fmtid="{D5CDD505-2E9C-101B-9397-08002B2CF9AE}" pid="15" name="ICV">
    <vt:lpwstr>B1F8082797B948FAA9121FC91382B29F_13</vt:lpwstr>
  </property>
  <property fmtid="{D5CDD505-2E9C-101B-9397-08002B2CF9AE}" pid="16" name="KSOTemplateDocerSaveRecord">
    <vt:lpwstr>eyJoZGlkIjoiMzEwNTM5NzYwMDRjMzkwZTVkZjY2ODkwMGIxNGU0OTUiLCJ1c2VySWQiOiI0MzUxOTUzNDUifQ==</vt:lpwstr>
  </property>
  <property fmtid="{D5CDD505-2E9C-101B-9397-08002B2CF9AE}" pid="17" name="GrammarlyDocumentId">
    <vt:lpwstr>fbe81f1d-289c-4f94-a338-1608e8c9a42f</vt:lpwstr>
  </property>
</Properties>
</file>