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3B8D6">
      <w:pPr>
        <w:framePr w:wrap="notBeside" w:vAnchor="page" w:hAnchor="page" w:x="1372" w:y="568"/>
        <w:ind w:firstLine="420"/>
      </w:pPr>
      <w:bookmarkStart w:id="0" w:name="_Hlk113959447"/>
      <w:bookmarkEnd w:id="0"/>
      <w:r>
        <mc:AlternateContent>
          <mc:Choice Requires="wps">
            <w:drawing>
              <wp:anchor distT="0" distB="0" distL="114300" distR="114300" simplePos="0" relativeHeight="251662336" behindDoc="0" locked="0" layoutInCell="1" allowOverlap="1">
                <wp:simplePos x="0" y="0"/>
                <wp:positionH relativeFrom="column">
                  <wp:posOffset>4425315</wp:posOffset>
                </wp:positionH>
                <wp:positionV relativeFrom="paragraph">
                  <wp:posOffset>201930</wp:posOffset>
                </wp:positionV>
                <wp:extent cx="1440180" cy="730885"/>
                <wp:effectExtent l="0" t="0" r="0" b="0"/>
                <wp:wrapNone/>
                <wp:docPr id="8" name="WordArt 375"/>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40180" cy="730885"/>
                        </a:xfrm>
                        <a:prstGeom prst="rect">
                          <a:avLst/>
                        </a:prstGeom>
                      </wps:spPr>
                      <wps:txbx>
                        <w:txbxContent>
                          <w:p w14:paraId="6207BDAC">
                            <w:pPr>
                              <w:jc w:val="center"/>
                              <w:rPr>
                                <w:rFonts w:ascii="Times New Roman" w:hAnsi="Times New Roman"/>
                                <w:kern w:val="0"/>
                                <w:sz w:val="24"/>
                              </w:rPr>
                            </w:pPr>
                            <w:r>
                              <w:rPr>
                                <w:rFonts w:ascii="Times New Roman" w:hAnsi="Times New Roman"/>
                                <w:b/>
                                <w:bCs/>
                                <w:color w:val="000000"/>
                                <w:sz w:val="72"/>
                                <w:szCs w:val="72"/>
                              </w:rPr>
                              <w:t>JB</w:t>
                            </w:r>
                          </w:p>
                        </w:txbxContent>
                      </wps:txbx>
                      <wps:bodyPr wrap="square" numCol="1" fromWordArt="1">
                        <a:prstTxWarp prst="textPlain">
                          <a:avLst>
                            <a:gd name="adj" fmla="val 50000"/>
                          </a:avLst>
                        </a:prstTxWarp>
                        <a:noAutofit/>
                      </wps:bodyPr>
                    </wps:wsp>
                  </a:graphicData>
                </a:graphic>
              </wp:anchor>
            </w:drawing>
          </mc:Choice>
          <mc:Fallback>
            <w:pict>
              <v:shape id="WordArt 375" o:spid="_x0000_s1026" o:spt="202" type="#_x0000_t202" style="position:absolute;left:0pt;margin-left:348.45pt;margin-top:15.9pt;height:57.55pt;width:113.4pt;z-index:251662336;mso-width-relative:page;mso-height-relative:page;" filled="f" stroked="f" coordsize="21600,21600" o:gfxdata="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oG2jdkAAAAKAQAADwAAAAAA&#10;AAABACAAAAAiAAAAZHJzL2Rvd25yZXYueG1sUEsBAhQAFAAAAAgAh07iQD1ftbwSAgAAKQQAAA4A&#10;AAAAAAAAAQAgAAAAKAEAAGRycy9lMm9Eb2MueG1sUEsFBgAAAAAGAAYAWQEAAKwFAAAAAA==&#10;" adj="10800">
                <v:fill on="f" focussize="0,0"/>
                <v:stroke on="f"/>
                <v:imagedata o:title=""/>
                <o:lock v:ext="edit" text="t" aspectratio="f"/>
                <v:textbox>
                  <w:txbxContent>
                    <w:p w14:paraId="6207BDAC">
                      <w:pPr>
                        <w:jc w:val="center"/>
                        <w:rPr>
                          <w:rFonts w:ascii="Times New Roman" w:hAnsi="Times New Roman"/>
                          <w:kern w:val="0"/>
                          <w:sz w:val="24"/>
                        </w:rPr>
                      </w:pPr>
                      <w:r>
                        <w:rPr>
                          <w:rFonts w:ascii="Times New Roman" w:hAnsi="Times New Roman"/>
                          <w:b/>
                          <w:bCs/>
                          <w:color w:val="000000"/>
                          <w:sz w:val="72"/>
                          <w:szCs w:val="72"/>
                        </w:rPr>
                        <w:t>JB</w:t>
                      </w:r>
                    </w:p>
                  </w:txbxContent>
                </v:textbox>
              </v:shape>
            </w:pict>
          </mc:Fallback>
        </mc:AlternateContent>
      </w:r>
    </w:p>
    <w:tbl>
      <w:tblPr>
        <w:tblStyle w:val="33"/>
        <w:tblW w:w="2245" w:type="dxa"/>
        <w:tblInd w:w="0" w:type="dxa"/>
        <w:tblLayout w:type="autofit"/>
        <w:tblCellMar>
          <w:top w:w="0" w:type="dxa"/>
          <w:left w:w="0" w:type="dxa"/>
          <w:bottom w:w="0" w:type="dxa"/>
          <w:right w:w="0" w:type="dxa"/>
        </w:tblCellMar>
      </w:tblPr>
      <w:tblGrid>
        <w:gridCol w:w="2245"/>
      </w:tblGrid>
      <w:tr w14:paraId="38BC4A23">
        <w:tblPrEx>
          <w:tblCellMar>
            <w:top w:w="0" w:type="dxa"/>
            <w:left w:w="0" w:type="dxa"/>
            <w:bottom w:w="0" w:type="dxa"/>
            <w:right w:w="0" w:type="dxa"/>
          </w:tblCellMar>
        </w:tblPrEx>
        <w:trPr>
          <w:trHeight w:val="175" w:hRule="atLeast"/>
        </w:trPr>
        <w:tc>
          <w:tcPr>
            <w:tcW w:w="2245" w:type="dxa"/>
            <w:vAlign w:val="center"/>
          </w:tcPr>
          <w:p w14:paraId="598D309B">
            <w:pPr>
              <w:pStyle w:val="23"/>
              <w:framePr w:wrap="notBeside" w:vAnchor="page" w:hAnchor="page" w:x="1372" w:y="568"/>
              <w:tabs>
                <w:tab w:val="clear" w:pos="4153"/>
                <w:tab w:val="clear" w:pos="8306"/>
              </w:tabs>
              <w:spacing w:before="120" w:line="240" w:lineRule="auto"/>
              <w:jc w:val="both"/>
              <w:rPr>
                <w:rFonts w:ascii="Times New Roman" w:hAnsi="Times New Roman" w:eastAsia="黑体"/>
                <w:b/>
                <w:sz w:val="21"/>
                <w:szCs w:val="21"/>
              </w:rPr>
            </w:pPr>
            <w:r>
              <w:rPr>
                <w:rFonts w:ascii="Times New Roman" w:hAnsi="Times New Roman" w:eastAsia="黑体"/>
                <w:b/>
                <w:sz w:val="21"/>
                <w:szCs w:val="21"/>
              </w:rPr>
              <w:t xml:space="preserve">ICS </w:t>
            </w:r>
            <w:r>
              <w:rPr>
                <w:rFonts w:ascii="Times New Roman" w:hAnsi="Times New Roman" w:eastAsia="黑体"/>
                <w:sz w:val="21"/>
                <w:szCs w:val="21"/>
              </w:rPr>
              <w:fldChar w:fldCharType="begin">
                <w:ffData>
                  <w:name w:val="ICS"/>
                  <w:enabled/>
                  <w:calcOnExit w:val="0"/>
                  <w:textInput>
                    <w:default w:val="点击此处添加ICS号"/>
                  </w:textInput>
                </w:ffData>
              </w:fldChar>
            </w:r>
            <w:r>
              <w:rPr>
                <w:rFonts w:ascii="Times New Roman" w:hAnsi="Times New Roman" w:eastAsia="黑体"/>
                <w:sz w:val="21"/>
                <w:szCs w:val="21"/>
              </w:rPr>
              <w:instrText xml:space="preserve"> FORMTEXT </w:instrText>
            </w:r>
            <w:r>
              <w:rPr>
                <w:rFonts w:ascii="Times New Roman" w:hAnsi="Times New Roman" w:eastAsia="黑体"/>
                <w:sz w:val="21"/>
                <w:szCs w:val="21"/>
              </w:rPr>
              <w:fldChar w:fldCharType="separate"/>
            </w:r>
            <w:r>
              <w:rPr>
                <w:rFonts w:ascii="Times New Roman" w:hAnsi="Times New Roman" w:eastAsia="黑体"/>
                <w:sz w:val="21"/>
                <w:szCs w:val="21"/>
              </w:rPr>
              <w:t>67.260</w:t>
            </w:r>
            <w:r>
              <w:rPr>
                <w:rFonts w:ascii="Times New Roman" w:hAnsi="Times New Roman" w:eastAsia="黑体"/>
                <w:sz w:val="21"/>
                <w:szCs w:val="21"/>
              </w:rPr>
              <w:fldChar w:fldCharType="end"/>
            </w:r>
          </w:p>
        </w:tc>
      </w:tr>
      <w:tr w14:paraId="2A85D067">
        <w:tblPrEx>
          <w:tblCellMar>
            <w:top w:w="0" w:type="dxa"/>
            <w:left w:w="0" w:type="dxa"/>
            <w:bottom w:w="0" w:type="dxa"/>
            <w:right w:w="0" w:type="dxa"/>
          </w:tblCellMar>
        </w:tblPrEx>
        <w:trPr>
          <w:trHeight w:val="175" w:hRule="atLeast"/>
        </w:trPr>
        <w:tc>
          <w:tcPr>
            <w:tcW w:w="2245" w:type="dxa"/>
            <w:vAlign w:val="center"/>
          </w:tcPr>
          <w:p w14:paraId="772B42D8">
            <w:pPr>
              <w:pStyle w:val="23"/>
              <w:framePr w:wrap="notBeside" w:vAnchor="page" w:hAnchor="page" w:x="1372" w:y="568"/>
              <w:tabs>
                <w:tab w:val="clear" w:pos="4153"/>
                <w:tab w:val="clear" w:pos="8306"/>
              </w:tabs>
              <w:spacing w:before="120" w:line="240" w:lineRule="auto"/>
              <w:jc w:val="both"/>
              <w:rPr>
                <w:rFonts w:hint="eastAsia" w:ascii="黑体" w:hAnsi="黑体" w:eastAsia="黑体"/>
                <w:sz w:val="21"/>
                <w:szCs w:val="21"/>
              </w:rPr>
            </w:pPr>
            <w:r>
              <w:rPr>
                <w:rFonts w:ascii="Times New Roman" w:hAnsi="Times New Roman" w:eastAsia="黑体"/>
                <w:b/>
                <w:sz w:val="21"/>
                <w:szCs w:val="21"/>
              </w:rPr>
              <w:t xml:space="preserve">CCS </w:t>
            </w:r>
            <w:r>
              <w:rPr>
                <w:rFonts w:ascii="Times New Roman" w:hAnsi="Times New Roman" w:eastAsia="黑体"/>
                <w:sz w:val="21"/>
                <w:szCs w:val="21"/>
              </w:rPr>
              <w:fldChar w:fldCharType="begin">
                <w:ffData>
                  <w:name w:val="CSDN"/>
                  <w:enabled/>
                  <w:calcOnExit w:val="0"/>
                  <w:textInput>
                    <w:default w:val="点击此处添加CCS号"/>
                  </w:textInput>
                </w:ffData>
              </w:fldChar>
            </w:r>
            <w:r>
              <w:rPr>
                <w:rFonts w:ascii="Times New Roman" w:hAnsi="Times New Roman" w:eastAsia="黑体"/>
                <w:sz w:val="21"/>
                <w:szCs w:val="21"/>
              </w:rPr>
              <w:instrText xml:space="preserve"> FORMTEXT </w:instrText>
            </w:r>
            <w:r>
              <w:rPr>
                <w:rFonts w:ascii="Times New Roman" w:hAnsi="Times New Roman" w:eastAsia="黑体"/>
                <w:sz w:val="21"/>
                <w:szCs w:val="21"/>
              </w:rPr>
              <w:fldChar w:fldCharType="separate"/>
            </w:r>
            <w:r>
              <w:rPr>
                <w:rFonts w:ascii="Times New Roman" w:hAnsi="Times New Roman" w:eastAsia="黑体"/>
                <w:sz w:val="21"/>
                <w:szCs w:val="21"/>
              </w:rPr>
              <w:t>X 99</w:t>
            </w:r>
            <w:r>
              <w:rPr>
                <w:rFonts w:ascii="Times New Roman" w:hAnsi="Times New Roman" w:eastAsia="黑体"/>
                <w:sz w:val="21"/>
                <w:szCs w:val="21"/>
              </w:rPr>
              <w:fldChar w:fldCharType="end"/>
            </w:r>
          </w:p>
        </w:tc>
      </w:tr>
    </w:tbl>
    <w:p w14:paraId="6B11436D">
      <w:pPr>
        <w:pStyle w:val="59"/>
        <w:framePr w:w="9639" w:h="624" w:hRule="exact" w:hSpace="181" w:vSpace="181" w:wrap="around" w:hAnchor="page" w:x="1305" w:y="2269"/>
        <w:rPr>
          <w:rFonts w:hint="eastAsia" w:ascii="黑体" w:hAnsi="黑体" w:eastAsia="黑体"/>
          <w:b w:val="0"/>
          <w:bCs w:val="0"/>
          <w:w w:val="100"/>
          <w:sz w:val="48"/>
          <w:szCs w:val="48"/>
        </w:rPr>
      </w:pPr>
      <w:bookmarkStart w:id="1" w:name="_Hlk26473981"/>
      <w:r>
        <w:rPr>
          <w:rFonts w:hint="eastAsia" w:ascii="黑体" w:hAnsi="黑体" w:eastAsia="黑体"/>
          <w:b w:val="0"/>
          <w:bCs w:val="0"/>
          <w:w w:val="100"/>
          <w:sz w:val="48"/>
          <w:szCs w:val="48"/>
        </w:rPr>
        <w:t>中华人民共和国机械行业标准</w:t>
      </w:r>
    </w:p>
    <w:bookmarkEnd w:id="1"/>
    <w:p w14:paraId="5DC3090D">
      <w:pPr>
        <w:pStyle w:val="204"/>
        <w:spacing w:line="240" w:lineRule="auto"/>
      </w:pPr>
      <w:r>
        <w:fldChar w:fldCharType="begin">
          <w:ffData>
            <w:name w:val="文字1"/>
            <w:enabled/>
            <w:calcOnExit w:val="0"/>
            <w:textInput>
              <w:default w:val="XX/T"/>
            </w:textInput>
          </w:ffData>
        </w:fldChar>
      </w:r>
      <w:bookmarkStart w:id="2" w:name="文字1"/>
      <w:r>
        <w:instrText xml:space="preserve"> FORMTEXT </w:instrText>
      </w:r>
      <w:r>
        <w:fldChar w:fldCharType="separate"/>
      </w:r>
      <w:r>
        <w:t>JB/T</w:t>
      </w:r>
      <w:r>
        <w:fldChar w:fldCharType="end"/>
      </w:r>
      <w:bookmarkEnd w:id="2"/>
      <w:r>
        <w:fldChar w:fldCharType="begin">
          <w:ffData>
            <w:name w:val="NSTD_CODE_F"/>
            <w:enabled/>
            <w:calcOnExit w:val="0"/>
            <w:textInput>
              <w:default w:val=" XXXXX"/>
            </w:textInput>
          </w:ffData>
        </w:fldChar>
      </w:r>
      <w:bookmarkStart w:id="3" w:name="NSTD_CODE_F"/>
      <w:r>
        <w:instrText xml:space="preserve"> FORMTEXT </w:instrText>
      </w:r>
      <w:r>
        <w:fldChar w:fldCharType="separate"/>
      </w:r>
      <w:r>
        <w:t xml:space="preserve"> XXXXX</w:t>
      </w:r>
      <w:r>
        <w:fldChar w:fldCharType="end"/>
      </w:r>
      <w:bookmarkEnd w:id="3"/>
      <w:r>
        <w:rPr>
          <w:rFonts w:hint="eastAsia"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p w14:paraId="45E57022">
      <w:pPr>
        <w:spacing w:line="240" w:lineRule="auto"/>
        <w:ind w:firstLine="420"/>
        <w:rPr>
          <w:rFonts w:hint="eastAsia" w:ascii="黑体" w:hAnsi="黑体" w:eastAsia="黑体"/>
          <w:kern w:val="0"/>
          <w:sz w:val="10"/>
          <w:szCs w:val="10"/>
        </w:rPr>
      </w:pPr>
      <w:r>
        <w:t xml:space="preserve"> </w:t>
      </w:r>
      <w: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2699385</wp:posOffset>
                </wp:positionV>
                <wp:extent cx="6120130" cy="0"/>
                <wp:effectExtent l="0" t="0" r="13970" b="19050"/>
                <wp:wrapNone/>
                <wp:docPr id="7"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73" o:spid="_x0000_s1026" o:spt="20" style="position:absolute;left:0pt;margin-left:70.9pt;margin-top:212.55pt;height:0pt;width:481.9pt;mso-position-horizontal-relative:page;mso-position-vertical-relative:page;z-index:251660288;mso-width-relative:page;mso-height-relative:page;" filled="f" stroked="t" coordsize="21600,21600" o:allowoverlap="f" o:gfxdata="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3idItcAAAAM&#10;AQAADwAAAAAAAAABACAAAAAiAAAAZHJzL2Rvd25yZXYueG1sUEsBAhQAFAAAAAgAh07iQEPu+r3k&#10;AQAAqwMAAA4AAAAAAAAAAQAgAAAAJgEAAGRycy9lMm9Eb2MueG1sUEsFBgAAAAAGAAYAWQEAAHwF&#10;AAAAAA==&#10;">
                <v:fill on="f" focussize="0,0"/>
                <v:stroke color="#000000" joinstyle="round"/>
                <v:imagedata o:title=""/>
                <o:lock v:ext="edit" aspectratio="f"/>
              </v:line>
            </w:pict>
          </mc:Fallback>
        </mc:AlternateContent>
      </w:r>
    </w:p>
    <w:p w14:paraId="127449D6">
      <w:pPr>
        <w:pStyle w:val="59"/>
        <w:framePr w:w="9639" w:h="6976" w:hRule="exact" w:hSpace="0" w:vSpace="0" w:wrap="around" w:hAnchor="page" w:y="6408"/>
        <w:jc w:val="center"/>
        <w:rPr>
          <w:rFonts w:hint="eastAsia" w:ascii="黑体" w:hAnsi="黑体" w:eastAsia="黑体"/>
          <w:b w:val="0"/>
          <w:bCs w:val="0"/>
          <w:w w:val="100"/>
        </w:rPr>
      </w:pPr>
    </w:p>
    <w:p w14:paraId="318DBDA9">
      <w:pPr>
        <w:pStyle w:val="206"/>
        <w:framePr w:h="6974" w:hRule="exact" w:wrap="around" w:x="1419" w:anchorLock="1"/>
        <w:rPr>
          <w:rFonts w:hint="eastAsia"/>
        </w:rPr>
      </w:pPr>
      <w:r>
        <w:rPr>
          <w:rFonts w:hint="eastAsia"/>
        </w:rPr>
        <w:t xml:space="preserve">食品机械 </w:t>
      </w:r>
      <w:r>
        <w:t xml:space="preserve"> </w:t>
      </w:r>
      <w:r>
        <w:rPr>
          <w:rFonts w:hint="eastAsia"/>
        </w:rPr>
        <w:t>速冻薯条加工成套设备</w:t>
      </w:r>
    </w:p>
    <w:p w14:paraId="055AF0EC">
      <w:pPr>
        <w:framePr w:w="9639" w:h="6974" w:hRule="exact" w:wrap="around" w:vAnchor="page" w:hAnchor="page" w:x="1419" w:y="6408" w:anchorLock="1"/>
        <w:ind w:left="-1418" w:firstLine="420"/>
      </w:pPr>
    </w:p>
    <w:p w14:paraId="7D88E9F7">
      <w:pPr>
        <w:framePr w:w="9639" w:h="6974" w:hRule="exact" w:wrap="around" w:vAnchor="page" w:hAnchor="page" w:x="1419" w:y="6408" w:anchorLock="1"/>
        <w:spacing w:line="760" w:lineRule="exact"/>
        <w:jc w:val="center"/>
        <w:rPr>
          <w:rFonts w:ascii="Times New Roman" w:hAnsi="Times New Roman" w:eastAsia="黑体"/>
          <w:b/>
          <w:bCs/>
          <w:kern w:val="0"/>
          <w:sz w:val="28"/>
          <w:szCs w:val="28"/>
        </w:rPr>
      </w:pPr>
      <w:r>
        <w:rPr>
          <w:rFonts w:ascii="Times New Roman" w:hAnsi="Times New Roman" w:eastAsia="黑体"/>
          <w:b/>
          <w:bCs/>
          <w:kern w:val="0"/>
          <w:sz w:val="28"/>
          <w:szCs w:val="28"/>
        </w:rPr>
        <w:t xml:space="preserve">Food machinery—Complete sets of </w:t>
      </w:r>
      <w:r>
        <w:rPr>
          <w:rFonts w:hint="eastAsia" w:ascii="Times New Roman" w:hAnsi="Times New Roman" w:eastAsia="黑体"/>
          <w:b/>
          <w:bCs/>
          <w:kern w:val="0"/>
          <w:sz w:val="28"/>
          <w:szCs w:val="28"/>
        </w:rPr>
        <w:t>q</w:t>
      </w:r>
      <w:r>
        <w:rPr>
          <w:rFonts w:ascii="Times New Roman" w:hAnsi="Times New Roman" w:eastAsia="黑体"/>
          <w:b/>
          <w:bCs/>
          <w:kern w:val="0"/>
          <w:sz w:val="28"/>
          <w:szCs w:val="28"/>
        </w:rPr>
        <w:t>uick-frozen french</w:t>
      </w:r>
      <w:r>
        <w:rPr>
          <w:rFonts w:hint="eastAsia" w:ascii="Times New Roman" w:hAnsi="Times New Roman" w:eastAsia="黑体"/>
          <w:b/>
          <w:bCs/>
          <w:kern w:val="0"/>
          <w:sz w:val="28"/>
          <w:szCs w:val="28"/>
        </w:rPr>
        <w:t xml:space="preserve"> fries</w:t>
      </w:r>
      <w:r>
        <w:rPr>
          <w:rFonts w:ascii="Times New Roman" w:hAnsi="Times New Roman" w:eastAsia="黑体"/>
          <w:b/>
          <w:bCs/>
          <w:kern w:val="0"/>
          <w:sz w:val="28"/>
          <w:szCs w:val="28"/>
        </w:rPr>
        <w:t xml:space="preserve"> processing equipment</w:t>
      </w:r>
    </w:p>
    <w:p w14:paraId="2503C13F">
      <w:pPr>
        <w:pStyle w:val="134"/>
        <w:framePr w:w="9639" w:h="6974" w:hRule="exact" w:wrap="around" w:vAnchor="page" w:hAnchor="page" w:x="1419" w:y="6408" w:anchorLock="1"/>
        <w:spacing w:before="440" w:after="160"/>
        <w:textAlignment w:val="bottom"/>
        <w:rPr>
          <w:rFonts w:ascii="宋体" w:hAnsi="宋体"/>
          <w:szCs w:val="28"/>
        </w:rPr>
      </w:pPr>
      <w:r>
        <w:rPr>
          <w:rFonts w:hint="eastAsia" w:ascii="宋体" w:hAnsi="宋体"/>
          <w:szCs w:val="28"/>
        </w:rPr>
        <w:t>（征求意见稿）</w:t>
      </w:r>
    </w:p>
    <w:p w14:paraId="1B58F686">
      <w:pPr>
        <w:pStyle w:val="134"/>
        <w:framePr w:w="9639" w:h="6974" w:hRule="exact" w:wrap="around" w:vAnchor="page" w:hAnchor="page" w:x="1419" w:y="6408" w:anchorLock="1"/>
        <w:spacing w:before="440" w:after="160"/>
        <w:textAlignment w:val="bottom"/>
        <w:rPr>
          <w:rFonts w:hint="eastAsia" w:ascii="宋体" w:hAnsi="宋体"/>
          <w:szCs w:val="28"/>
        </w:rPr>
      </w:pPr>
      <w:r>
        <w:rPr>
          <w:rFonts w:hint="eastAsia" w:ascii="宋体" w:hAnsi="宋体"/>
          <w:szCs w:val="28"/>
        </w:rPr>
        <w:t>在提交反馈意见时，请将您知道的相关专利连同支持性文件一并附上。</w:t>
      </w:r>
      <w:r>
        <w:rPr>
          <w:rFonts w:ascii="宋体" w:hAnsi="宋体"/>
          <w:szCs w:val="28"/>
        </w:rPr>
        <w:cr/>
      </w:r>
    </w:p>
    <w:p w14:paraId="23729727">
      <w:pPr>
        <w:pStyle w:val="18"/>
        <w:framePr w:w="9639" w:h="6974" w:hRule="exact" w:wrap="around" w:vAnchor="page" w:hAnchor="page" w:x="1419" w:y="6408" w:anchorLock="1"/>
        <w:spacing w:before="240" w:beforeLines="100"/>
        <w:jc w:val="center"/>
        <w:rPr>
          <w:rFonts w:ascii="Times New Roman" w:hAnsi="Times New Roman"/>
          <w:sz w:val="28"/>
          <w:szCs w:val="28"/>
        </w:rPr>
      </w:pPr>
    </w:p>
    <w:p w14:paraId="056BEF91">
      <w:pPr>
        <w:pStyle w:val="134"/>
        <w:framePr w:w="9639" w:h="6974" w:hRule="exact" w:wrap="around" w:vAnchor="page" w:hAnchor="page" w:x="1419" w:y="6408" w:anchorLock="1"/>
        <w:spacing w:before="720" w:beforeLines="300" w:after="72" w:afterLines="30" w:line="240" w:lineRule="auto"/>
        <w:textAlignment w:val="bottom"/>
        <w:rPr>
          <w:rFonts w:hint="eastAsia" w:hAnsi="宋体"/>
          <w:szCs w:val="28"/>
        </w:rPr>
      </w:pPr>
    </w:p>
    <w:p w14:paraId="679C58CC">
      <w:pPr>
        <w:pStyle w:val="134"/>
        <w:framePr w:w="9639" w:h="6974" w:hRule="exact" w:wrap="around" w:vAnchor="page" w:hAnchor="page" w:x="1419" w:y="6408" w:anchorLock="1"/>
        <w:spacing w:before="720" w:beforeLines="300" w:after="72" w:afterLines="30" w:line="240" w:lineRule="auto"/>
        <w:textAlignment w:val="bottom"/>
        <w:rPr>
          <w:rFonts w:hint="eastAsia" w:ascii="宋体" w:hAnsi="宋体"/>
          <w:szCs w:val="28"/>
        </w:rPr>
      </w:pPr>
    </w:p>
    <w:p w14:paraId="5B333E63">
      <w:pPr>
        <w:pStyle w:val="134"/>
        <w:framePr w:w="9639" w:h="6974" w:hRule="exact" w:wrap="around" w:vAnchor="page" w:hAnchor="page" w:x="1419" w:y="6408" w:anchorLock="1"/>
        <w:spacing w:before="720" w:beforeLines="300" w:after="72" w:afterLines="30" w:line="240" w:lineRule="auto"/>
        <w:textAlignment w:val="bottom"/>
        <w:rPr>
          <w:rFonts w:hint="eastAsia" w:ascii="宋体" w:hAnsi="宋体"/>
          <w:szCs w:val="28"/>
        </w:rPr>
      </w:pPr>
    </w:p>
    <w:p w14:paraId="421B3344">
      <w:pPr>
        <w:pStyle w:val="202"/>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rPr>
          <w:rFonts w:ascii="黑体"/>
        </w:rPr>
        <w:t>-</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rPr>
          <w:rFonts w:ascii="黑体"/>
        </w:rPr>
        <w:t>-</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p>
    <w:p w14:paraId="622C865C">
      <w:pPr>
        <w:pStyle w:val="203"/>
        <w:framePr w:wrap="around" w:y="14176"/>
        <w:rPr>
          <w:lang w:val="fr-FR"/>
        </w:rPr>
      </w:pPr>
      <w:r>
        <w:rPr>
          <w:rFonts w:ascii="黑体"/>
        </w:rPr>
        <w:fldChar w:fldCharType="begin">
          <w:ffData>
            <w:name w:val="CROT_DATE_Y"/>
            <w:enabled/>
            <w:calcOnExit w:val="0"/>
            <w:textInput>
              <w:default w:val="XXXX"/>
              <w:maxLength w:val="4"/>
            </w:textInput>
          </w:ffData>
        </w:fldChar>
      </w:r>
      <w:bookmarkStart w:id="8" w:name="CROT_DATE_Y"/>
      <w:r>
        <w:rPr>
          <w:rFonts w:ascii="黑体"/>
          <w:lang w:val="fr-FR"/>
        </w:rPr>
        <w:instrText xml:space="preserve"> FORMTEXT </w:instrText>
      </w:r>
      <w:r>
        <w:rPr>
          <w:rFonts w:ascii="黑体"/>
        </w:rPr>
        <w:fldChar w:fldCharType="separate"/>
      </w:r>
      <w:r>
        <w:rPr>
          <w:rFonts w:ascii="黑体"/>
          <w:lang w:val="fr-FR"/>
        </w:rPr>
        <w:t>XXXX</w:t>
      </w:r>
      <w:r>
        <w:rPr>
          <w:rFonts w:ascii="黑体"/>
        </w:rPr>
        <w:fldChar w:fldCharType="end"/>
      </w:r>
      <w:bookmarkEnd w:id="8"/>
      <w:r>
        <w:rPr>
          <w:rFonts w:ascii="黑体"/>
          <w:lang w:val="fr-FR"/>
        </w:rPr>
        <w:t>-</w:t>
      </w:r>
      <w:r>
        <w:rPr>
          <w:rFonts w:ascii="黑体"/>
        </w:rPr>
        <w:fldChar w:fldCharType="begin">
          <w:ffData>
            <w:name w:val="CROT_DATE_M"/>
            <w:enabled/>
            <w:calcOnExit w:val="0"/>
            <w:textInput>
              <w:default w:val="XX"/>
              <w:maxLength w:val="2"/>
            </w:textInput>
          </w:ffData>
        </w:fldChar>
      </w:r>
      <w:bookmarkStart w:id="9" w:name="CROT_DATE_M"/>
      <w:r>
        <w:rPr>
          <w:rFonts w:ascii="黑体"/>
          <w:lang w:val="fr-FR"/>
        </w:rPr>
        <w:instrText xml:space="preserve"> FORMTEXT </w:instrText>
      </w:r>
      <w:r>
        <w:rPr>
          <w:rFonts w:ascii="黑体"/>
        </w:rPr>
        <w:fldChar w:fldCharType="separate"/>
      </w:r>
      <w:r>
        <w:rPr>
          <w:rFonts w:ascii="黑体"/>
          <w:lang w:val="fr-FR"/>
        </w:rPr>
        <w:t>XX</w:t>
      </w:r>
      <w:r>
        <w:rPr>
          <w:rFonts w:ascii="黑体"/>
        </w:rPr>
        <w:fldChar w:fldCharType="end"/>
      </w:r>
      <w:bookmarkEnd w:id="9"/>
      <w:r>
        <w:rPr>
          <w:rFonts w:ascii="黑体"/>
          <w:lang w:val="fr-FR"/>
        </w:rPr>
        <w:t>-</w:t>
      </w:r>
      <w:r>
        <w:rPr>
          <w:rFonts w:ascii="黑体"/>
        </w:rPr>
        <w:fldChar w:fldCharType="begin">
          <w:ffData>
            <w:name w:val="CROT_DATE_D"/>
            <w:enabled/>
            <w:calcOnExit w:val="0"/>
            <w:textInput>
              <w:default w:val="XX"/>
              <w:maxLength w:val="2"/>
            </w:textInput>
          </w:ffData>
        </w:fldChar>
      </w:r>
      <w:bookmarkStart w:id="10" w:name="CROT_DATE_D"/>
      <w:r>
        <w:rPr>
          <w:rFonts w:ascii="黑体"/>
          <w:lang w:val="fr-FR"/>
        </w:rPr>
        <w:instrText xml:space="preserve"> FORMTEXT </w:instrText>
      </w:r>
      <w:r>
        <w:rPr>
          <w:rFonts w:ascii="黑体"/>
        </w:rPr>
        <w:fldChar w:fldCharType="separate"/>
      </w:r>
      <w:r>
        <w:rPr>
          <w:rFonts w:ascii="黑体"/>
          <w:lang w:val="fr-FR"/>
        </w:rPr>
        <w:t>XX</w:t>
      </w:r>
      <w:r>
        <w:rPr>
          <w:rFonts w:ascii="黑体"/>
        </w:rPr>
        <w:fldChar w:fldCharType="end"/>
      </w:r>
      <w:bookmarkEnd w:id="10"/>
      <w:r>
        <w:rPr>
          <w:rFonts w:hint="eastAsia"/>
        </w:rPr>
        <w:t>实施</w:t>
      </w:r>
    </w:p>
    <w:p w14:paraId="257BE829">
      <w:pPr>
        <w:pStyle w:val="160"/>
        <w:framePr w:h="584" w:hRule="exact" w:hSpace="181" w:vSpace="181" w:wrap="around" w:y="14800"/>
        <w:rPr>
          <w:rFonts w:hint="eastAsia" w:hAnsi="黑体"/>
          <w:lang w:val="fr-FR"/>
        </w:rPr>
      </w:pPr>
      <w:r>
        <w:rPr>
          <w:rFonts w:hAnsi="黑体"/>
          <w:w w:val="100"/>
          <w:sz w:val="28"/>
        </w:rPr>
        <w:fldChar w:fldCharType="begin">
          <w:ffData>
            <w:name w:val="fm"/>
            <w:enabled/>
            <w:calcOnExit w:val="0"/>
            <w:textInput/>
          </w:ffData>
        </w:fldChar>
      </w:r>
      <w:bookmarkStart w:id="11" w:name="fm"/>
      <w:r>
        <w:rPr>
          <w:rFonts w:hAnsi="黑体"/>
          <w:w w:val="100"/>
          <w:sz w:val="28"/>
          <w:lang w:val="fr-FR"/>
        </w:rPr>
        <w:instrText xml:space="preserve"> FORMTEXT </w:instrText>
      </w:r>
      <w:r>
        <w:rPr>
          <w:rFonts w:hAnsi="黑体"/>
          <w:w w:val="100"/>
          <w:sz w:val="28"/>
        </w:rPr>
        <w:fldChar w:fldCharType="separate"/>
      </w:r>
      <w:r>
        <w:rPr>
          <w:rFonts w:hint="eastAsia" w:hAnsi="黑体"/>
          <w:w w:val="100"/>
          <w:sz w:val="28"/>
        </w:rPr>
        <w:t>中华人民共和国工业和信息化部</w:t>
      </w:r>
      <w:r>
        <w:rPr>
          <w:rFonts w:hAnsi="黑体"/>
          <w:w w:val="100"/>
          <w:sz w:val="28"/>
        </w:rPr>
        <w:fldChar w:fldCharType="end"/>
      </w:r>
      <w:bookmarkEnd w:id="11"/>
      <w:r>
        <w:rPr>
          <w:rFonts w:ascii="Times New Roman"/>
          <w:w w:val="100"/>
          <w:sz w:val="28"/>
          <w:szCs w:val="28"/>
          <w:lang w:val="fr-FR"/>
        </w:rPr>
        <w:t>  </w:t>
      </w:r>
      <w:r>
        <w:rPr>
          <w:rStyle w:val="238"/>
          <w:rFonts w:hint="eastAsia" w:hAnsi="黑体"/>
          <w:position w:val="0"/>
        </w:rPr>
        <w:t>发</w:t>
      </w:r>
      <w:r>
        <w:rPr>
          <w:rStyle w:val="238"/>
          <w:rFonts w:hint="eastAsia" w:hAnsi="黑体"/>
          <w:spacing w:val="0"/>
          <w:position w:val="0"/>
        </w:rPr>
        <w:t>布</w:t>
      </w:r>
    </w:p>
    <w:p w14:paraId="0A16C2C9">
      <w:pPr>
        <w:ind w:firstLine="420"/>
        <w:rPr>
          <w:rFonts w:hint="eastAsia" w:ascii="宋体" w:hAnsi="宋体"/>
          <w:sz w:val="28"/>
          <w:szCs w:val="28"/>
          <w:lang w:val="fr-FR"/>
        </w:rPr>
        <w:sectPr>
          <w:headerReference r:id="rId6" w:type="first"/>
          <w:footerReference r:id="rId8" w:type="first"/>
          <w:headerReference r:id="rId5" w:type="default"/>
          <w:footerReference r:id="rId7" w:type="even"/>
          <w:type w:val="continuous"/>
          <w:pgSz w:w="11906" w:h="16838"/>
          <w:pgMar w:top="567" w:right="1134" w:bottom="851" w:left="1134" w:header="1418" w:footer="1134" w:gutter="284"/>
          <w:cols w:space="425" w:num="1"/>
          <w:titlePg/>
          <w:docGrid w:linePitch="312" w:charSpace="0"/>
        </w:sectPr>
      </w:pPr>
      <w: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9251950</wp:posOffset>
                </wp:positionV>
                <wp:extent cx="6120130" cy="0"/>
                <wp:effectExtent l="0" t="0" r="13970" b="19050"/>
                <wp:wrapNone/>
                <wp:docPr id="6"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5" o:spid="_x0000_s1026" o:spt="20" style="position:absolute;left:0pt;margin-left:70.85pt;margin-top:728.5pt;height:0pt;width:481.9pt;mso-position-horizontal-relative:page;mso-position-vertical-relative:page;z-index:251661312;mso-width-relative:page;mso-height-relative:page;" filled="f" stroked="t" coordsize="21600,21600" o:gfxdata="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IIroS1wAAAA4B&#10;AAAPAAAAAAAAAAEAIAAAACIAAABkcnMvZG93bnJldi54bWxQSwECFAAUAAAACACHTuJAqHxL7OMB&#10;AACqAwAADgAAAAAAAAABACAAAAAmAQAAZHJzL2Uyb0RvYy54bWxQSwUGAAAAAAYABgBZAQAAewUA&#10;AAAA&#10;">
                <v:fill on="f" focussize="0,0"/>
                <v:stroke color="#000000" joinstyle="round"/>
                <v:imagedata o:title=""/>
                <o:lock v:ext="edit" aspectratio="f"/>
                <w10:anchorlock/>
              </v:line>
            </w:pict>
          </mc:Fallback>
        </mc:AlternateContent>
      </w:r>
    </w:p>
    <w:p w14:paraId="046D48ED">
      <w:pPr>
        <w:spacing w:before="480" w:beforeLines="200" w:after="240" w:afterLines="100" w:line="480" w:lineRule="exact"/>
        <w:ind w:firstLine="640"/>
        <w:jc w:val="center"/>
        <w:rPr>
          <w:rFonts w:ascii="黑体" w:hAnsi="Times New Roman" w:eastAsia="黑体"/>
          <w:bCs/>
          <w:sz w:val="32"/>
          <w:szCs w:val="32"/>
        </w:rPr>
      </w:pPr>
      <w:bookmarkStart w:id="12" w:name="BookMark1"/>
      <w:bookmarkStart w:id="13" w:name="_Toc76532359"/>
      <w:bookmarkStart w:id="14" w:name="_Toc85527721"/>
      <w:bookmarkStart w:id="15" w:name="_Toc77186034"/>
      <w:bookmarkStart w:id="16" w:name="_Toc77186016"/>
      <w:bookmarkStart w:id="17" w:name="_Toc85527742"/>
      <w:bookmarkStart w:id="18" w:name="_Toc76532480"/>
      <w:bookmarkStart w:id="19" w:name="_Toc76902172"/>
      <w:r>
        <w:rPr>
          <w:rFonts w:hint="eastAsia" w:ascii="黑体" w:hAnsi="Times New Roman" w:eastAsia="黑体"/>
          <w:bCs/>
          <w:sz w:val="32"/>
          <w:szCs w:val="32"/>
        </w:rPr>
        <w:t>目   次</w:t>
      </w:r>
    </w:p>
    <w:p w14:paraId="2197A957">
      <w:pPr>
        <w:pStyle w:val="24"/>
        <w:keepNext w:val="0"/>
        <w:keepLines w:val="0"/>
        <w:pageBreakBefore w:val="0"/>
        <w:widowControl w:val="0"/>
        <w:tabs>
          <w:tab w:val="right" w:leader="dot" w:pos="9070"/>
        </w:tabs>
        <w:kinsoku/>
        <w:wordWrap/>
        <w:overflowPunct/>
        <w:topLinePunct w:val="0"/>
        <w:autoSpaceDE/>
        <w:autoSpaceDN/>
        <w:bidi w:val="0"/>
        <w:adjustRightInd w:val="0"/>
        <w:snapToGrid/>
        <w:spacing w:line="400" w:lineRule="exact"/>
        <w:ind w:left="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TOC \o "1-2" \h \z \u </w:instrText>
      </w:r>
      <w:r>
        <w:rPr>
          <w:rFonts w:hint="default" w:ascii="Times New Roman" w:hAnsi="Times New Roman" w:eastAsia="宋体" w:cs="Times New Roman"/>
        </w:rPr>
        <w:fldChar w:fldCharType="separate"/>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_Toc20601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32"/>
        </w:rPr>
        <w:t>前言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_Toc20601 \h </w:instrText>
      </w:r>
      <w:r>
        <w:rPr>
          <w:rFonts w:hint="default" w:ascii="Times New Roman" w:hAnsi="Times New Roman" w:eastAsia="宋体" w:cs="Times New Roman"/>
        </w:rPr>
        <w:fldChar w:fldCharType="separate"/>
      </w:r>
      <w:r>
        <w:rPr>
          <w:rFonts w:hint="default" w:ascii="Times New Roman" w:hAnsi="Times New Roman" w:eastAsia="宋体" w:cs="Times New Roman"/>
        </w:rPr>
        <w:t>IV</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1A194FE0">
      <w:pPr>
        <w:pStyle w:val="24"/>
        <w:keepNext w:val="0"/>
        <w:keepLines w:val="0"/>
        <w:pageBreakBefore w:val="0"/>
        <w:widowControl w:val="0"/>
        <w:tabs>
          <w:tab w:val="right" w:leader="dot" w:pos="9070"/>
        </w:tabs>
        <w:kinsoku/>
        <w:wordWrap/>
        <w:overflowPunct/>
        <w:topLinePunct w:val="0"/>
        <w:autoSpaceDE/>
        <w:autoSpaceDN/>
        <w:bidi w:val="0"/>
        <w:adjustRightInd w:val="0"/>
        <w:snapToGrid/>
        <w:spacing w:line="400" w:lineRule="exact"/>
        <w:ind w:left="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_Toc28176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32"/>
        </w:rPr>
        <w:t>引言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_Toc28176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03C76682">
      <w:pPr>
        <w:pStyle w:val="24"/>
        <w:keepNext w:val="0"/>
        <w:keepLines w:val="0"/>
        <w:pageBreakBefore w:val="0"/>
        <w:widowControl w:val="0"/>
        <w:tabs>
          <w:tab w:val="right" w:leader="dot" w:pos="9070"/>
        </w:tabs>
        <w:kinsoku/>
        <w:wordWrap/>
        <w:overflowPunct/>
        <w:topLinePunct w:val="0"/>
        <w:autoSpaceDE/>
        <w:autoSpaceDN/>
        <w:bidi w:val="0"/>
        <w:adjustRightInd w:val="0"/>
        <w:snapToGrid/>
        <w:spacing w:line="400" w:lineRule="exact"/>
        <w:ind w:left="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_Toc28041 </w:instrText>
      </w:r>
      <w:r>
        <w:rPr>
          <w:rFonts w:hint="default" w:ascii="Times New Roman" w:hAnsi="Times New Roman" w:eastAsia="宋体" w:cs="Times New Roman"/>
        </w:rPr>
        <w:fldChar w:fldCharType="separate"/>
      </w:r>
      <w:r>
        <w:rPr>
          <w:rFonts w:hint="default" w:ascii="Times New Roman" w:hAnsi="Times New Roman" w:eastAsia="宋体" w:cs="Times New Roman"/>
          <w:i w:val="0"/>
        </w:rPr>
        <w:t xml:space="preserve">1 </w:t>
      </w:r>
      <w:r>
        <w:rPr>
          <w:rFonts w:hint="default" w:ascii="Times New Roman" w:hAnsi="Times New Roman" w:eastAsia="宋体" w:cs="Times New Roman"/>
        </w:rPr>
        <w:t>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_Toc28041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6212978E">
      <w:pPr>
        <w:pStyle w:val="24"/>
        <w:keepNext w:val="0"/>
        <w:keepLines w:val="0"/>
        <w:pageBreakBefore w:val="0"/>
        <w:widowControl w:val="0"/>
        <w:tabs>
          <w:tab w:val="right" w:leader="dot" w:pos="9070"/>
        </w:tabs>
        <w:kinsoku/>
        <w:wordWrap/>
        <w:overflowPunct/>
        <w:topLinePunct w:val="0"/>
        <w:autoSpaceDE/>
        <w:autoSpaceDN/>
        <w:bidi w:val="0"/>
        <w:adjustRightInd w:val="0"/>
        <w:snapToGrid/>
        <w:spacing w:line="400" w:lineRule="exact"/>
        <w:ind w:left="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_Toc21715 </w:instrText>
      </w:r>
      <w:r>
        <w:rPr>
          <w:rFonts w:hint="default" w:ascii="Times New Roman" w:hAnsi="Times New Roman" w:eastAsia="宋体" w:cs="Times New Roman"/>
        </w:rPr>
        <w:fldChar w:fldCharType="separate"/>
      </w:r>
      <w:r>
        <w:rPr>
          <w:rFonts w:hint="default" w:ascii="Times New Roman" w:hAnsi="Times New Roman" w:eastAsia="宋体" w:cs="Times New Roman"/>
          <w:i w:val="0"/>
        </w:rPr>
        <w:t xml:space="preserve">2 </w:t>
      </w:r>
      <w:r>
        <w:rPr>
          <w:rFonts w:hint="default" w:ascii="Times New Roman" w:hAnsi="Times New Roman" w:eastAsia="宋体" w:cs="Times New Roman"/>
        </w:rPr>
        <w:t>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_Toc21715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56C94583">
      <w:pPr>
        <w:pStyle w:val="24"/>
        <w:keepNext w:val="0"/>
        <w:keepLines w:val="0"/>
        <w:pageBreakBefore w:val="0"/>
        <w:widowControl w:val="0"/>
        <w:tabs>
          <w:tab w:val="right" w:leader="dot" w:pos="9070"/>
        </w:tabs>
        <w:kinsoku/>
        <w:wordWrap/>
        <w:overflowPunct/>
        <w:topLinePunct w:val="0"/>
        <w:autoSpaceDE/>
        <w:autoSpaceDN/>
        <w:bidi w:val="0"/>
        <w:adjustRightInd w:val="0"/>
        <w:snapToGrid/>
        <w:spacing w:line="400" w:lineRule="exact"/>
        <w:ind w:left="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_Toc30080 </w:instrText>
      </w:r>
      <w:r>
        <w:rPr>
          <w:rFonts w:hint="default" w:ascii="Times New Roman" w:hAnsi="Times New Roman" w:eastAsia="宋体" w:cs="Times New Roman"/>
        </w:rPr>
        <w:fldChar w:fldCharType="separate"/>
      </w:r>
      <w:r>
        <w:rPr>
          <w:rFonts w:hint="default" w:ascii="Times New Roman" w:hAnsi="Times New Roman" w:eastAsia="宋体" w:cs="Times New Roman"/>
          <w:i w:val="0"/>
        </w:rPr>
        <w:t xml:space="preserve">3 </w:t>
      </w:r>
      <w:r>
        <w:rPr>
          <w:rFonts w:hint="default" w:ascii="Times New Roman" w:hAnsi="Times New Roman" w:eastAsia="宋体" w:cs="Times New Roman"/>
        </w:rPr>
        <w:t>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_Toc30080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41E4E718">
      <w:pPr>
        <w:pStyle w:val="24"/>
        <w:keepNext w:val="0"/>
        <w:keepLines w:val="0"/>
        <w:pageBreakBefore w:val="0"/>
        <w:widowControl w:val="0"/>
        <w:tabs>
          <w:tab w:val="right" w:leader="dot" w:pos="9070"/>
        </w:tabs>
        <w:kinsoku/>
        <w:wordWrap/>
        <w:overflowPunct/>
        <w:topLinePunct w:val="0"/>
        <w:autoSpaceDE/>
        <w:autoSpaceDN/>
        <w:bidi w:val="0"/>
        <w:adjustRightInd w:val="0"/>
        <w:snapToGrid/>
        <w:spacing w:line="400" w:lineRule="exact"/>
        <w:ind w:left="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_Toc4568 </w:instrText>
      </w:r>
      <w:r>
        <w:rPr>
          <w:rFonts w:hint="default" w:ascii="Times New Roman" w:hAnsi="Times New Roman" w:eastAsia="宋体" w:cs="Times New Roman"/>
        </w:rPr>
        <w:fldChar w:fldCharType="separate"/>
      </w:r>
      <w:r>
        <w:rPr>
          <w:rFonts w:hint="default" w:ascii="Times New Roman" w:hAnsi="Times New Roman" w:eastAsia="宋体" w:cs="Times New Roman"/>
          <w:i w:val="0"/>
        </w:rPr>
        <w:t xml:space="preserve">4 </w:t>
      </w:r>
      <w:r>
        <w:rPr>
          <w:rFonts w:hint="default" w:ascii="Times New Roman" w:hAnsi="Times New Roman" w:eastAsia="宋体" w:cs="Times New Roman"/>
        </w:rPr>
        <w:t>型号与组成</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_Toc4568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640EB186">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_Toc25866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4.1 </w:t>
      </w:r>
      <w:r>
        <w:rPr>
          <w:rFonts w:hint="default" w:ascii="Times New Roman" w:hAnsi="Times New Roman" w:eastAsia="宋体" w:cs="Times New Roman"/>
          <w:szCs w:val="21"/>
        </w:rPr>
        <w:t>型号</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_Toc25866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E3E452B">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_Toc9844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4.2 </w:t>
      </w:r>
      <w:r>
        <w:rPr>
          <w:rFonts w:hint="default" w:ascii="Times New Roman" w:hAnsi="Times New Roman" w:eastAsia="宋体" w:cs="Times New Roman"/>
          <w:szCs w:val="21"/>
        </w:rPr>
        <w:t>组成</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_Toc9844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34717776">
      <w:pPr>
        <w:pStyle w:val="24"/>
        <w:keepNext w:val="0"/>
        <w:keepLines w:val="0"/>
        <w:pageBreakBefore w:val="0"/>
        <w:widowControl w:val="0"/>
        <w:tabs>
          <w:tab w:val="right" w:leader="dot" w:pos="9070"/>
        </w:tabs>
        <w:kinsoku/>
        <w:wordWrap/>
        <w:overflowPunct/>
        <w:topLinePunct w:val="0"/>
        <w:autoSpaceDE/>
        <w:autoSpaceDN/>
        <w:bidi w:val="0"/>
        <w:adjustRightInd w:val="0"/>
        <w:snapToGrid/>
        <w:spacing w:line="400" w:lineRule="exact"/>
        <w:ind w:left="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_Toc607 </w:instrText>
      </w:r>
      <w:r>
        <w:rPr>
          <w:rFonts w:hint="default" w:ascii="Times New Roman" w:hAnsi="Times New Roman" w:eastAsia="宋体" w:cs="Times New Roman"/>
        </w:rPr>
        <w:fldChar w:fldCharType="separate"/>
      </w:r>
      <w:r>
        <w:rPr>
          <w:rFonts w:hint="default" w:ascii="Times New Roman" w:hAnsi="Times New Roman" w:eastAsia="宋体" w:cs="Times New Roman"/>
          <w:i w:val="0"/>
        </w:rPr>
        <w:t xml:space="preserve">5 </w:t>
      </w:r>
      <w:r>
        <w:rPr>
          <w:rFonts w:hint="default" w:ascii="Times New Roman" w:hAnsi="Times New Roman" w:eastAsia="宋体" w:cs="Times New Roman"/>
        </w:rPr>
        <w:t>技术要求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_Toc607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BB5F6C5">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_Toc23190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5.1 </w:t>
      </w:r>
      <w:r>
        <w:rPr>
          <w:rFonts w:hint="default" w:ascii="Times New Roman" w:hAnsi="Times New Roman" w:eastAsia="宋体" w:cs="Times New Roman"/>
          <w:szCs w:val="21"/>
        </w:rPr>
        <w:t>材料要求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_Toc23190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2669ACD">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_Toc26814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5.2 </w:t>
      </w:r>
      <w:r>
        <w:rPr>
          <w:rFonts w:hint="default" w:ascii="Times New Roman" w:hAnsi="Times New Roman" w:eastAsia="宋体" w:cs="Times New Roman"/>
          <w:szCs w:val="21"/>
        </w:rPr>
        <w:t>加工要求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_Toc26814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01911FF5">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_Toc10708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5.3 </w:t>
      </w:r>
      <w:r>
        <w:rPr>
          <w:rFonts w:hint="default" w:ascii="Times New Roman" w:hAnsi="Times New Roman" w:eastAsia="宋体" w:cs="Times New Roman"/>
          <w:szCs w:val="21"/>
        </w:rPr>
        <w:t>主要单机和系统要求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_Toc10708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19F8F605">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_Toc21527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5.4 </w:t>
      </w:r>
      <w:r>
        <w:rPr>
          <w:rFonts w:hint="default" w:ascii="Times New Roman" w:hAnsi="Times New Roman" w:eastAsia="宋体" w:cs="Times New Roman"/>
          <w:szCs w:val="21"/>
        </w:rPr>
        <w:t>装配要求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_Toc21527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86B6017">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_Toc15406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5.5 </w:t>
      </w:r>
      <w:r>
        <w:rPr>
          <w:rFonts w:hint="default" w:ascii="Times New Roman" w:hAnsi="Times New Roman" w:eastAsia="宋体" w:cs="Times New Roman"/>
          <w:szCs w:val="21"/>
        </w:rPr>
        <w:t>安装要求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_Toc15406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43343CDA">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_Toc246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5.6 </w:t>
      </w:r>
      <w:r>
        <w:rPr>
          <w:rFonts w:hint="default" w:ascii="Times New Roman" w:hAnsi="Times New Roman" w:eastAsia="宋体" w:cs="Times New Roman"/>
          <w:szCs w:val="21"/>
        </w:rPr>
        <w:t>卫生安全要求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_Toc246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5D9E4A24">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_Toc26214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5.7 </w:t>
      </w:r>
      <w:r>
        <w:rPr>
          <w:rFonts w:hint="default" w:ascii="Times New Roman" w:hAnsi="Times New Roman" w:eastAsia="宋体" w:cs="Times New Roman"/>
          <w:szCs w:val="21"/>
        </w:rPr>
        <w:t>机械安全要求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_Toc26214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5137571F">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_Toc23027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5.8 </w:t>
      </w:r>
      <w:r>
        <w:rPr>
          <w:rFonts w:hint="default" w:ascii="Times New Roman" w:hAnsi="Times New Roman" w:eastAsia="宋体" w:cs="Times New Roman"/>
          <w:szCs w:val="21"/>
        </w:rPr>
        <w:t>电气安全要求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_Toc23027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6BCFFB87">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_Toc5666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5.9 </w:t>
      </w:r>
      <w:r>
        <w:rPr>
          <w:rFonts w:hint="default" w:ascii="Times New Roman" w:hAnsi="Times New Roman" w:eastAsia="宋体" w:cs="Times New Roman"/>
          <w:szCs w:val="21"/>
        </w:rPr>
        <w:t>成（配）套性</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_Toc5666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681C4F40">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_Toc21953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5.10 </w:t>
      </w:r>
      <w:r>
        <w:rPr>
          <w:rFonts w:hint="default" w:ascii="Times New Roman" w:hAnsi="Times New Roman" w:eastAsia="宋体" w:cs="Times New Roman"/>
          <w:szCs w:val="21"/>
        </w:rPr>
        <w:t>性能要求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_Toc21953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488F7F5">
      <w:pPr>
        <w:pStyle w:val="24"/>
        <w:keepNext w:val="0"/>
        <w:keepLines w:val="0"/>
        <w:pageBreakBefore w:val="0"/>
        <w:widowControl w:val="0"/>
        <w:tabs>
          <w:tab w:val="right" w:leader="dot" w:pos="9070"/>
        </w:tabs>
        <w:kinsoku/>
        <w:wordWrap/>
        <w:overflowPunct/>
        <w:topLinePunct w:val="0"/>
        <w:autoSpaceDE/>
        <w:autoSpaceDN/>
        <w:bidi w:val="0"/>
        <w:adjustRightInd w:val="0"/>
        <w:snapToGrid/>
        <w:spacing w:line="400" w:lineRule="exact"/>
        <w:ind w:left="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_Toc20558 </w:instrText>
      </w:r>
      <w:r>
        <w:rPr>
          <w:rFonts w:hint="default" w:ascii="Times New Roman" w:hAnsi="Times New Roman" w:eastAsia="宋体" w:cs="Times New Roman"/>
        </w:rPr>
        <w:fldChar w:fldCharType="separate"/>
      </w:r>
      <w:r>
        <w:rPr>
          <w:rFonts w:hint="default" w:ascii="Times New Roman" w:hAnsi="Times New Roman" w:eastAsia="宋体" w:cs="Times New Roman"/>
          <w:i w:val="0"/>
        </w:rPr>
        <w:t xml:space="preserve">6 </w:t>
      </w:r>
      <w:r>
        <w:rPr>
          <w:rFonts w:hint="default" w:ascii="Times New Roman" w:hAnsi="Times New Roman" w:eastAsia="宋体" w:cs="Times New Roman"/>
        </w:rPr>
        <w:t>试验方法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_Toc20558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F5649B1">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_Toc12953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6.1 </w:t>
      </w:r>
      <w:r>
        <w:rPr>
          <w:rFonts w:hint="default" w:ascii="Times New Roman" w:hAnsi="Times New Roman" w:eastAsia="宋体" w:cs="Times New Roman"/>
          <w:szCs w:val="21"/>
        </w:rPr>
        <w:t>试验条件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_Toc12953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ADCF2DB">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_Toc23377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6.2 </w:t>
      </w:r>
      <w:r>
        <w:rPr>
          <w:rFonts w:hint="default" w:ascii="Times New Roman" w:hAnsi="Times New Roman" w:eastAsia="宋体" w:cs="Times New Roman"/>
          <w:szCs w:val="21"/>
        </w:rPr>
        <w:t>材料要求检查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_Toc23377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693FE25E">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_Toc25105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rPr>
        <w:t xml:space="preserve">6.3 </w:t>
      </w:r>
      <w:r>
        <w:rPr>
          <w:rFonts w:hint="default" w:ascii="Times New Roman" w:hAnsi="Times New Roman" w:eastAsia="宋体" w:cs="Times New Roman"/>
          <w:szCs w:val="21"/>
        </w:rPr>
        <w:t>加工要求检查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_Toc25105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35384440">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_Toc15370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6.4 </w:t>
      </w:r>
      <w:r>
        <w:rPr>
          <w:rFonts w:hint="default" w:ascii="Times New Roman" w:hAnsi="Times New Roman" w:eastAsia="宋体" w:cs="Times New Roman"/>
          <w:szCs w:val="21"/>
        </w:rPr>
        <w:t>主要单机和系统要求检查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_Toc15370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12EE4736">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_Toc20643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6.5 </w:t>
      </w:r>
      <w:r>
        <w:rPr>
          <w:rFonts w:hint="default" w:ascii="Times New Roman" w:hAnsi="Times New Roman" w:eastAsia="宋体" w:cs="Times New Roman"/>
          <w:szCs w:val="21"/>
        </w:rPr>
        <w:t>装配要求检查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_Toc20643 \h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60F3F70F">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_Toc9149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6.6 </w:t>
      </w:r>
      <w:r>
        <w:rPr>
          <w:rFonts w:hint="default" w:ascii="Times New Roman" w:hAnsi="Times New Roman" w:eastAsia="宋体" w:cs="Times New Roman"/>
          <w:szCs w:val="21"/>
        </w:rPr>
        <w:t>安装要求检查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_Toc9149 \h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46188EC">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_Toc20077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6.7 </w:t>
      </w:r>
      <w:r>
        <w:rPr>
          <w:rFonts w:hint="default" w:ascii="Times New Roman" w:hAnsi="Times New Roman" w:eastAsia="宋体" w:cs="Times New Roman"/>
          <w:szCs w:val="21"/>
        </w:rPr>
        <w:t>卫生安全要求检查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_Toc20077 \h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CAB89F0">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_Toc7762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6.8 </w:t>
      </w:r>
      <w:r>
        <w:rPr>
          <w:rFonts w:hint="default" w:ascii="Times New Roman" w:hAnsi="Times New Roman" w:eastAsia="宋体" w:cs="Times New Roman"/>
          <w:szCs w:val="21"/>
        </w:rPr>
        <w:t>机械安全要求检查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_Toc7762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A7F628C">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_Toc19187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6.9 </w:t>
      </w:r>
      <w:r>
        <w:rPr>
          <w:rFonts w:hint="default" w:ascii="Times New Roman" w:hAnsi="Times New Roman" w:eastAsia="宋体" w:cs="Times New Roman"/>
          <w:szCs w:val="21"/>
        </w:rPr>
        <w:t>电气安全要求检查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_Toc19187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C09A338">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_Toc2961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6.10 </w:t>
      </w:r>
      <w:r>
        <w:rPr>
          <w:rFonts w:hint="default" w:ascii="Times New Roman" w:hAnsi="Times New Roman" w:eastAsia="宋体" w:cs="Times New Roman"/>
          <w:szCs w:val="21"/>
        </w:rPr>
        <w:t>成（配）套性检查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_Toc2961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48A2B28B">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_Toc25575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6.11 </w:t>
      </w:r>
      <w:r>
        <w:rPr>
          <w:rFonts w:hint="default" w:ascii="Times New Roman" w:hAnsi="Times New Roman" w:eastAsia="宋体" w:cs="Times New Roman"/>
          <w:szCs w:val="21"/>
        </w:rPr>
        <w:t>性能试验</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_Toc25575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9232C9D">
      <w:pPr>
        <w:pStyle w:val="24"/>
        <w:keepNext w:val="0"/>
        <w:keepLines w:val="0"/>
        <w:pageBreakBefore w:val="0"/>
        <w:widowControl w:val="0"/>
        <w:tabs>
          <w:tab w:val="right" w:leader="dot" w:pos="9070"/>
        </w:tabs>
        <w:kinsoku/>
        <w:wordWrap/>
        <w:overflowPunct/>
        <w:topLinePunct w:val="0"/>
        <w:autoSpaceDE/>
        <w:autoSpaceDN/>
        <w:bidi w:val="0"/>
        <w:adjustRightInd w:val="0"/>
        <w:snapToGrid/>
        <w:spacing w:line="400" w:lineRule="exact"/>
        <w:ind w:left="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_Toc835 </w:instrText>
      </w:r>
      <w:r>
        <w:rPr>
          <w:rFonts w:hint="default" w:ascii="Times New Roman" w:hAnsi="Times New Roman" w:eastAsia="宋体" w:cs="Times New Roman"/>
        </w:rPr>
        <w:fldChar w:fldCharType="separate"/>
      </w:r>
      <w:r>
        <w:rPr>
          <w:rFonts w:hint="default" w:ascii="Times New Roman" w:hAnsi="Times New Roman" w:eastAsia="宋体" w:cs="Times New Roman"/>
          <w:i w:val="0"/>
          <w:kern w:val="0"/>
        </w:rPr>
        <w:t xml:space="preserve">7 </w:t>
      </w:r>
      <w:r>
        <w:rPr>
          <w:rFonts w:hint="default" w:ascii="Times New Roman" w:hAnsi="Times New Roman" w:eastAsia="宋体" w:cs="Times New Roman"/>
          <w:kern w:val="0"/>
        </w:rPr>
        <w:t>检验规则</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_Toc835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381D2D88">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_Toc1862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rPr>
        <w:t xml:space="preserve">7.1 </w:t>
      </w:r>
      <w:r>
        <w:rPr>
          <w:rFonts w:hint="default" w:ascii="Times New Roman" w:hAnsi="Times New Roman" w:eastAsia="宋体" w:cs="Times New Roman"/>
          <w:kern w:val="0"/>
        </w:rPr>
        <w:t>检验</w:t>
      </w:r>
      <w:r>
        <w:rPr>
          <w:rFonts w:hint="default" w:ascii="Times New Roman" w:hAnsi="Times New Roman" w:eastAsia="宋体" w:cs="Times New Roman"/>
        </w:rPr>
        <w:t>类型</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_Toc1862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6D3FDA06">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_Toc867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rPr>
        <w:t xml:space="preserve">7.2 </w:t>
      </w:r>
      <w:r>
        <w:rPr>
          <w:rFonts w:hint="default" w:ascii="Times New Roman" w:hAnsi="Times New Roman" w:eastAsia="宋体" w:cs="Times New Roman"/>
        </w:rPr>
        <w:t>出厂检验</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_Toc867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0D96BE74">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_Toc11086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rPr>
        <w:t xml:space="preserve">7.3 </w:t>
      </w:r>
      <w:r>
        <w:rPr>
          <w:rFonts w:hint="default" w:ascii="Times New Roman" w:hAnsi="Times New Roman" w:eastAsia="宋体" w:cs="Times New Roman"/>
        </w:rPr>
        <w:t>安装和调试检验</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_Toc11086 \h </w:instrText>
      </w:r>
      <w:r>
        <w:rPr>
          <w:rFonts w:hint="default" w:ascii="Times New Roman" w:hAnsi="Times New Roman" w:eastAsia="宋体" w:cs="Times New Roman"/>
        </w:rPr>
        <w:fldChar w:fldCharType="separate"/>
      </w:r>
      <w:r>
        <w:rPr>
          <w:rFonts w:hint="default" w:ascii="Times New Roman" w:hAnsi="Times New Roman" w:eastAsia="宋体" w:cs="Times New Roman"/>
        </w:rPr>
        <w:t>10</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22F4875">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_Toc189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rPr>
        <w:t xml:space="preserve">7.4 </w:t>
      </w:r>
      <w:r>
        <w:rPr>
          <w:rFonts w:hint="default" w:ascii="Times New Roman" w:hAnsi="Times New Roman" w:eastAsia="宋体" w:cs="Times New Roman"/>
        </w:rPr>
        <w:t>型式检验</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_Toc189 \h </w:instrText>
      </w:r>
      <w:r>
        <w:rPr>
          <w:rFonts w:hint="default" w:ascii="Times New Roman" w:hAnsi="Times New Roman" w:eastAsia="宋体" w:cs="Times New Roman"/>
        </w:rPr>
        <w:fldChar w:fldCharType="separate"/>
      </w:r>
      <w:r>
        <w:rPr>
          <w:rFonts w:hint="default" w:ascii="Times New Roman" w:hAnsi="Times New Roman" w:eastAsia="宋体" w:cs="Times New Roman"/>
        </w:rPr>
        <w:t>10</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D27A203">
      <w:pPr>
        <w:pStyle w:val="24"/>
        <w:keepNext w:val="0"/>
        <w:keepLines w:val="0"/>
        <w:pageBreakBefore w:val="0"/>
        <w:widowControl w:val="0"/>
        <w:tabs>
          <w:tab w:val="right" w:leader="dot" w:pos="9070"/>
        </w:tabs>
        <w:kinsoku/>
        <w:wordWrap/>
        <w:overflowPunct/>
        <w:topLinePunct w:val="0"/>
        <w:autoSpaceDE/>
        <w:autoSpaceDN/>
        <w:bidi w:val="0"/>
        <w:adjustRightInd w:val="0"/>
        <w:snapToGrid/>
        <w:spacing w:line="400" w:lineRule="exact"/>
        <w:ind w:left="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_Toc29452 </w:instrText>
      </w:r>
      <w:r>
        <w:rPr>
          <w:rFonts w:hint="default" w:ascii="Times New Roman" w:hAnsi="Times New Roman" w:eastAsia="宋体" w:cs="Times New Roman"/>
        </w:rPr>
        <w:fldChar w:fldCharType="separate"/>
      </w:r>
      <w:r>
        <w:rPr>
          <w:rFonts w:hint="default" w:ascii="Times New Roman" w:hAnsi="Times New Roman" w:eastAsia="宋体" w:cs="Times New Roman"/>
          <w:i w:val="0"/>
          <w:kern w:val="0"/>
        </w:rPr>
        <w:t xml:space="preserve">8 </w:t>
      </w:r>
      <w:r>
        <w:rPr>
          <w:rFonts w:hint="default" w:ascii="Times New Roman" w:hAnsi="Times New Roman" w:eastAsia="宋体" w:cs="Times New Roman"/>
          <w:kern w:val="0"/>
        </w:rPr>
        <w:t>标志、包装、运输和贮存</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_Toc29452 \h </w:instrText>
      </w:r>
      <w:r>
        <w:rPr>
          <w:rFonts w:hint="default" w:ascii="Times New Roman" w:hAnsi="Times New Roman" w:eastAsia="宋体" w:cs="Times New Roman"/>
        </w:rPr>
        <w:fldChar w:fldCharType="separate"/>
      </w:r>
      <w:r>
        <w:rPr>
          <w:rFonts w:hint="default" w:ascii="Times New Roman" w:hAnsi="Times New Roman" w:eastAsia="宋体" w:cs="Times New Roman"/>
        </w:rPr>
        <w:t>10</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063F5F67">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_Toc30134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rPr>
        <w:t xml:space="preserve">8.1 </w:t>
      </w:r>
      <w:r>
        <w:rPr>
          <w:rFonts w:hint="default" w:ascii="Times New Roman" w:hAnsi="Times New Roman" w:eastAsia="宋体" w:cs="Times New Roman"/>
        </w:rPr>
        <w:t>标志</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_Toc30134 \h </w:instrText>
      </w:r>
      <w:r>
        <w:rPr>
          <w:rFonts w:hint="default" w:ascii="Times New Roman" w:hAnsi="Times New Roman" w:eastAsia="宋体" w:cs="Times New Roman"/>
        </w:rPr>
        <w:fldChar w:fldCharType="separate"/>
      </w:r>
      <w:r>
        <w:rPr>
          <w:rFonts w:hint="default" w:ascii="Times New Roman" w:hAnsi="Times New Roman" w:eastAsia="宋体" w:cs="Times New Roman"/>
        </w:rPr>
        <w:t>10</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043B72B">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_Toc3236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rPr>
        <w:t xml:space="preserve">8.2 </w:t>
      </w:r>
      <w:r>
        <w:rPr>
          <w:rFonts w:hint="default" w:ascii="Times New Roman" w:hAnsi="Times New Roman" w:eastAsia="宋体" w:cs="Times New Roman"/>
        </w:rPr>
        <w:t>包装</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_Toc3236 \h </w:instrText>
      </w:r>
      <w:r>
        <w:rPr>
          <w:rFonts w:hint="default" w:ascii="Times New Roman" w:hAnsi="Times New Roman" w:eastAsia="宋体" w:cs="Times New Roman"/>
        </w:rPr>
        <w:fldChar w:fldCharType="separate"/>
      </w:r>
      <w:r>
        <w:rPr>
          <w:rFonts w:hint="default" w:ascii="Times New Roman" w:hAnsi="Times New Roman" w:eastAsia="宋体" w:cs="Times New Roman"/>
        </w:rPr>
        <w:t>10</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bookmarkStart w:id="871" w:name="_GoBack"/>
      <w:bookmarkEnd w:id="871"/>
    </w:p>
    <w:p w14:paraId="5AE32165">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_Toc10250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rPr>
        <w:t xml:space="preserve">8.3 </w:t>
      </w:r>
      <w:r>
        <w:rPr>
          <w:rFonts w:hint="default" w:ascii="Times New Roman" w:hAnsi="Times New Roman" w:eastAsia="宋体" w:cs="Times New Roman"/>
        </w:rPr>
        <w:t>运输</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_Toc10250 \h </w:instrText>
      </w:r>
      <w:r>
        <w:rPr>
          <w:rFonts w:hint="default" w:ascii="Times New Roman" w:hAnsi="Times New Roman" w:eastAsia="宋体" w:cs="Times New Roman"/>
        </w:rPr>
        <w:fldChar w:fldCharType="separate"/>
      </w:r>
      <w:r>
        <w:rPr>
          <w:rFonts w:hint="default" w:ascii="Times New Roman" w:hAnsi="Times New Roman" w:eastAsia="宋体" w:cs="Times New Roman"/>
        </w:rPr>
        <w:t>11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510F9D7E">
      <w:pPr>
        <w:pStyle w:val="29"/>
        <w:keepNext w:val="0"/>
        <w:keepLines w:val="0"/>
        <w:pageBreakBefore w:val="0"/>
        <w:widowControl w:val="0"/>
        <w:tabs>
          <w:tab w:val="right" w:leader="dot" w:pos="9070"/>
          <w:tab w:val="clear" w:pos="9344"/>
        </w:tabs>
        <w:kinsoku/>
        <w:wordWrap/>
        <w:overflowPunct/>
        <w:topLinePunct w:val="0"/>
        <w:autoSpaceDE/>
        <w:autoSpaceDN/>
        <w:bidi w:val="0"/>
        <w:adjustRightInd w:val="0"/>
        <w:snapToGrid/>
        <w:spacing w:line="300" w:lineRule="exact"/>
        <w:ind w:left="210"/>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_Toc15992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rPr>
        <w:t xml:space="preserve">8.4 </w:t>
      </w:r>
      <w:r>
        <w:rPr>
          <w:rFonts w:hint="default" w:ascii="Times New Roman" w:hAnsi="Times New Roman" w:eastAsia="宋体" w:cs="Times New Roman"/>
        </w:rPr>
        <w:t>贮存</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_Toc15992 \h </w:instrText>
      </w:r>
      <w:r>
        <w:rPr>
          <w:rFonts w:hint="default" w:ascii="Times New Roman" w:hAnsi="Times New Roman" w:eastAsia="宋体" w:cs="Times New Roman"/>
        </w:rPr>
        <w:fldChar w:fldCharType="separate"/>
      </w:r>
      <w:r>
        <w:rPr>
          <w:rFonts w:hint="default" w:ascii="Times New Roman" w:hAnsi="Times New Roman" w:eastAsia="宋体" w:cs="Times New Roman"/>
        </w:rPr>
        <w:t>11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06E7A32B">
      <w:pPr>
        <w:pStyle w:val="24"/>
        <w:keepNext w:val="0"/>
        <w:keepLines w:val="0"/>
        <w:pageBreakBefore w:val="0"/>
        <w:widowControl w:val="0"/>
        <w:tabs>
          <w:tab w:val="right" w:leader="dot" w:pos="9344"/>
        </w:tabs>
        <w:kinsoku/>
        <w:wordWrap/>
        <w:overflowPunct/>
        <w:topLinePunct w:val="0"/>
        <w:autoSpaceDE/>
        <w:autoSpaceDN/>
        <w:bidi w:val="0"/>
        <w:adjustRightInd w:val="0"/>
        <w:snapToGrid/>
        <w:spacing w:line="400" w:lineRule="exact"/>
        <w:ind w:left="0"/>
        <w:jc w:val="both"/>
        <w:textAlignment w:val="auto"/>
        <w:rPr>
          <w:rFonts w:ascii="Times New Roman" w:hAnsi="Times New Roman"/>
        </w:rPr>
      </w:pPr>
      <w:r>
        <w:rPr>
          <w:rFonts w:hint="default" w:ascii="Times New Roman" w:hAnsi="Times New Roman" w:eastAsia="宋体" w:cs="Times New Roman"/>
        </w:rPr>
        <w:fldChar w:fldCharType="end"/>
      </w:r>
      <w:bookmarkStart w:id="20" w:name="_Hlk78098231"/>
    </w:p>
    <w:p w14:paraId="177420FB">
      <w:pPr>
        <w:pStyle w:val="28"/>
        <w:keepNext w:val="0"/>
        <w:keepLines w:val="0"/>
        <w:pageBreakBefore w:val="0"/>
        <w:widowControl w:val="0"/>
        <w:tabs>
          <w:tab w:val="right" w:leader="dot" w:pos="9070"/>
        </w:tabs>
        <w:kinsoku/>
        <w:wordWrap/>
        <w:overflowPunct/>
        <w:topLinePunct w:val="0"/>
        <w:autoSpaceDE/>
        <w:autoSpaceDN/>
        <w:bidi w:val="0"/>
        <w:snapToGrid/>
        <w:jc w:val="both"/>
        <w:textAlignment w:val="auto"/>
        <w:rPr>
          <w:rFonts w:hint="default" w:ascii="Times New Roman" w:hAnsi="Times New Roman" w:eastAsia="宋体" w:cs="Times New Roman"/>
        </w:rPr>
      </w:pPr>
      <w:r>
        <w:rPr>
          <w:rFonts w:hint="default" w:ascii="Times New Roman" w:hAnsi="Times New Roman" w:eastAsia="宋体" w:cs="Times New Roman"/>
          <w:kern w:val="0"/>
          <w:szCs w:val="20"/>
        </w:rPr>
        <w:fldChar w:fldCharType="begin"/>
      </w:r>
      <w:r>
        <w:rPr>
          <w:rFonts w:hint="default" w:ascii="Times New Roman" w:hAnsi="Times New Roman" w:eastAsia="宋体" w:cs="Times New Roman"/>
          <w:kern w:val="0"/>
          <w:szCs w:val="20"/>
        </w:rPr>
        <w:instrText xml:space="preserve">TOC \h \c "图"</w:instrText>
      </w:r>
      <w:r>
        <w:rPr>
          <w:rFonts w:hint="default" w:ascii="Times New Roman" w:hAnsi="Times New Roman" w:eastAsia="宋体" w:cs="Times New Roman"/>
          <w:kern w:val="0"/>
          <w:szCs w:val="20"/>
        </w:rPr>
        <w:fldChar w:fldCharType="separate"/>
      </w:r>
      <w:r>
        <w:rPr>
          <w:rFonts w:hint="default" w:ascii="Times New Roman" w:hAnsi="Times New Roman" w:eastAsia="宋体" w:cs="Times New Roman"/>
          <w:kern w:val="0"/>
          <w:szCs w:val="20"/>
        </w:rPr>
        <w:fldChar w:fldCharType="begin"/>
      </w:r>
      <w:r>
        <w:rPr>
          <w:rFonts w:hint="default" w:ascii="Times New Roman" w:hAnsi="Times New Roman" w:eastAsia="宋体" w:cs="Times New Roman"/>
          <w:kern w:val="0"/>
          <w:szCs w:val="20"/>
        </w:rPr>
        <w:instrText xml:space="preserve"> HYPERLINK \l _Toc15874 </w:instrText>
      </w:r>
      <w:r>
        <w:rPr>
          <w:rFonts w:hint="default" w:ascii="Times New Roman" w:hAnsi="Times New Roman" w:eastAsia="宋体" w:cs="Times New Roman"/>
          <w:kern w:val="0"/>
          <w:szCs w:val="20"/>
        </w:rPr>
        <w:fldChar w:fldCharType="separate"/>
      </w:r>
      <w:r>
        <w:rPr>
          <w:rFonts w:hint="default" w:ascii="Times New Roman" w:hAnsi="Times New Roman" w:eastAsia="宋体" w:cs="Times New Roman"/>
          <w:szCs w:val="21"/>
        </w:rPr>
        <w:t xml:space="preserve">图 </w:t>
      </w:r>
      <w:r>
        <w:rPr>
          <w:rFonts w:hint="default" w:ascii="Times New Roman" w:hAnsi="Times New Roman" w:eastAsia="宋体" w:cs="Times New Roman"/>
        </w:rPr>
        <w:t xml:space="preserve">1 </w:t>
      </w:r>
      <w:r>
        <w:rPr>
          <w:rFonts w:hint="default" w:ascii="Times New Roman" w:hAnsi="Times New Roman" w:eastAsia="宋体" w:cs="Times New Roman"/>
          <w:szCs w:val="21"/>
        </w:rPr>
        <w:t>速冻薯条加工成套设备型号组成</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_Toc15874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kern w:val="0"/>
          <w:szCs w:val="20"/>
        </w:rPr>
        <w:fldChar w:fldCharType="end"/>
      </w:r>
    </w:p>
    <w:p w14:paraId="62B02000">
      <w:pPr>
        <w:pStyle w:val="24"/>
        <w:keepNext w:val="0"/>
        <w:keepLines w:val="0"/>
        <w:pageBreakBefore w:val="0"/>
        <w:widowControl w:val="0"/>
        <w:tabs>
          <w:tab w:val="right" w:leader="dot" w:pos="9344"/>
        </w:tabs>
        <w:kinsoku/>
        <w:wordWrap/>
        <w:overflowPunct/>
        <w:topLinePunct w:val="0"/>
        <w:autoSpaceDE/>
        <w:autoSpaceDN/>
        <w:bidi w:val="0"/>
        <w:snapToGrid/>
        <w:spacing w:line="240" w:lineRule="auto"/>
        <w:jc w:val="both"/>
        <w:textAlignment w:val="auto"/>
        <w:rPr>
          <w:rFonts w:hint="default" w:ascii="Times New Roman" w:hAnsi="Times New Roman" w:eastAsia="宋体" w:cs="Times New Roman"/>
          <w:kern w:val="0"/>
          <w:szCs w:val="20"/>
        </w:rPr>
      </w:pPr>
      <w:r>
        <w:rPr>
          <w:rFonts w:hint="default" w:ascii="Times New Roman" w:hAnsi="Times New Roman" w:eastAsia="宋体" w:cs="Times New Roman"/>
          <w:kern w:val="0"/>
          <w:szCs w:val="20"/>
        </w:rPr>
        <w:fldChar w:fldCharType="end"/>
      </w:r>
    </w:p>
    <w:p w14:paraId="5FFD02DA">
      <w:pPr>
        <w:pStyle w:val="28"/>
        <w:keepNext w:val="0"/>
        <w:keepLines w:val="0"/>
        <w:pageBreakBefore w:val="0"/>
        <w:widowControl w:val="0"/>
        <w:tabs>
          <w:tab w:val="right" w:leader="dot" w:pos="9070"/>
        </w:tabs>
        <w:kinsoku/>
        <w:wordWrap/>
        <w:overflowPunct/>
        <w:topLinePunct w:val="0"/>
        <w:autoSpaceDE/>
        <w:autoSpaceDN/>
        <w:bidi w:val="0"/>
        <w:snapToGrid/>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TOC \h \c "表"</w:instrText>
      </w:r>
      <w:r>
        <w:rPr>
          <w:rFonts w:hint="default" w:ascii="Times New Roman" w:hAnsi="Times New Roman" w:eastAsia="宋体" w:cs="Times New Roman"/>
        </w:rPr>
        <w:fldChar w:fldCharType="separate"/>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_Toc12282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rPr>
        <w:t xml:space="preserve">表 </w:t>
      </w:r>
      <w:r>
        <w:rPr>
          <w:rFonts w:hint="default" w:ascii="Times New Roman" w:hAnsi="Times New Roman" w:eastAsia="宋体" w:cs="Times New Roman"/>
        </w:rPr>
        <w:t xml:space="preserve">1 </w:t>
      </w:r>
      <w:r>
        <w:rPr>
          <w:rFonts w:hint="default" w:ascii="Times New Roman" w:hAnsi="Times New Roman" w:eastAsia="宋体" w:cs="Times New Roman"/>
          <w:szCs w:val="21"/>
        </w:rPr>
        <w:t>成套设备主要性能参数</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_Toc12282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3836C89A">
      <w:pPr>
        <w:pStyle w:val="28"/>
        <w:keepNext w:val="0"/>
        <w:keepLines w:val="0"/>
        <w:pageBreakBefore w:val="0"/>
        <w:widowControl w:val="0"/>
        <w:tabs>
          <w:tab w:val="right" w:leader="dot" w:pos="9070"/>
        </w:tabs>
        <w:kinsoku/>
        <w:wordWrap/>
        <w:overflowPunct/>
        <w:topLinePunct w:val="0"/>
        <w:autoSpaceDE/>
        <w:autoSpaceDN/>
        <w:bidi w:val="0"/>
        <w:snapToGrid/>
        <w:jc w:val="both"/>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_Toc5679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rPr>
        <w:t xml:space="preserve">表 </w:t>
      </w:r>
      <w:r>
        <w:rPr>
          <w:rFonts w:hint="default" w:ascii="Times New Roman" w:hAnsi="Times New Roman" w:eastAsia="宋体" w:cs="Times New Roman"/>
        </w:rPr>
        <w:t xml:space="preserve">2 </w:t>
      </w:r>
      <w:r>
        <w:rPr>
          <w:rFonts w:hint="default" w:ascii="Times New Roman" w:hAnsi="Times New Roman" w:eastAsia="宋体" w:cs="Times New Roman"/>
          <w:szCs w:val="21"/>
        </w:rPr>
        <w:t>检查项目</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_Toc5679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9B2B9D9">
      <w:pPr>
        <w:keepNext w:val="0"/>
        <w:keepLines w:val="0"/>
        <w:pageBreakBefore w:val="0"/>
        <w:widowControl w:val="0"/>
        <w:kinsoku/>
        <w:wordWrap/>
        <w:overflowPunct/>
        <w:topLinePunct w:val="0"/>
        <w:autoSpaceDE/>
        <w:autoSpaceDN/>
        <w:bidi w:val="0"/>
        <w:snapToGrid/>
        <w:spacing w:line="240" w:lineRule="auto"/>
        <w:jc w:val="both"/>
        <w:textAlignment w:val="auto"/>
      </w:pPr>
      <w:r>
        <w:rPr>
          <w:rFonts w:hint="default" w:ascii="Times New Roman" w:hAnsi="Times New Roman" w:eastAsia="宋体" w:cs="Times New Roman"/>
        </w:rPr>
        <w:fldChar w:fldCharType="end"/>
      </w:r>
    </w:p>
    <w:bookmarkEnd w:id="12"/>
    <w:bookmarkEnd w:id="20"/>
    <w:p w14:paraId="0FACDCB7">
      <w:pPr>
        <w:pStyle w:val="161"/>
        <w:numPr>
          <w:ilvl w:val="0"/>
          <w:numId w:val="35"/>
        </w:numPr>
        <w:rPr>
          <w:rFonts w:hint="eastAsia" w:ascii="等线 Light" w:hAnsi="等线 Light"/>
          <w:szCs w:val="32"/>
        </w:rPr>
      </w:pPr>
      <w:bookmarkStart w:id="21" w:name="_Toc196411769"/>
      <w:bookmarkStart w:id="22" w:name="_Toc44575478"/>
      <w:bookmarkStart w:id="23" w:name="_Toc32427"/>
      <w:bookmarkStart w:id="24" w:name="_Toc94259924"/>
      <w:bookmarkStart w:id="25" w:name="BookMark2"/>
    </w:p>
    <w:p w14:paraId="67865D2C">
      <w:pPr>
        <w:rPr>
          <w:rFonts w:hint="eastAsia" w:ascii="等线 Light" w:hAnsi="等线 Light"/>
          <w:szCs w:val="32"/>
        </w:rPr>
      </w:pPr>
      <w:r>
        <w:rPr>
          <w:rFonts w:ascii="Times New Roman"/>
        </w:rPr>
        <w:br w:type="page"/>
      </w:r>
    </w:p>
    <w:p w14:paraId="725042A7">
      <w:pPr>
        <w:pStyle w:val="161"/>
        <w:numPr>
          <w:ilvl w:val="0"/>
          <w:numId w:val="35"/>
        </w:numPr>
        <w:rPr>
          <w:rFonts w:hint="eastAsia" w:ascii="等线 Light" w:hAnsi="等线 Light"/>
          <w:szCs w:val="32"/>
        </w:rPr>
      </w:pPr>
      <w:bookmarkStart w:id="26" w:name="_Toc16281"/>
      <w:bookmarkStart w:id="27" w:name="_Toc19967"/>
      <w:bookmarkStart w:id="28" w:name="_Toc18465"/>
      <w:bookmarkStart w:id="29" w:name="_Toc20601"/>
      <w:r>
        <w:rPr>
          <w:rFonts w:hint="eastAsia" w:ascii="等线 Light" w:hAnsi="等线 Light"/>
          <w:bCs/>
          <w:szCs w:val="32"/>
        </w:rPr>
        <w:t>前  言</w:t>
      </w:r>
      <w:bookmarkEnd w:id="21"/>
      <w:bookmarkEnd w:id="22"/>
      <w:bookmarkEnd w:id="23"/>
      <w:bookmarkEnd w:id="26"/>
      <w:bookmarkEnd w:id="27"/>
      <w:bookmarkEnd w:id="28"/>
      <w:bookmarkEnd w:id="29"/>
    </w:p>
    <w:bookmarkEnd w:id="13"/>
    <w:bookmarkEnd w:id="14"/>
    <w:bookmarkEnd w:id="15"/>
    <w:bookmarkEnd w:id="16"/>
    <w:bookmarkEnd w:id="17"/>
    <w:bookmarkEnd w:id="18"/>
    <w:bookmarkEnd w:id="19"/>
    <w:bookmarkEnd w:id="24"/>
    <w:p w14:paraId="6B370CB5">
      <w:pPr>
        <w:widowControl/>
        <w:autoSpaceDE w:val="0"/>
        <w:autoSpaceDN w:val="0"/>
        <w:spacing w:line="360" w:lineRule="exact"/>
        <w:ind w:firstLine="420" w:firstLineChars="200"/>
        <w:rPr>
          <w:rFonts w:ascii="Times New Roman" w:hAnsi="Times New Roman"/>
          <w:kern w:val="0"/>
          <w:szCs w:val="20"/>
        </w:rPr>
      </w:pPr>
      <w:r>
        <w:rPr>
          <w:rFonts w:ascii="Times New Roman" w:hAnsi="Times New Roman"/>
          <w:kern w:val="0"/>
          <w:szCs w:val="20"/>
        </w:rPr>
        <w:t>本文件按照GB/T 1.1—2020《标准化工作导则   第1部分：标准化文件的结构和起草规则》的规定起草。</w:t>
      </w:r>
    </w:p>
    <w:p w14:paraId="01DFD925">
      <w:pPr>
        <w:widowControl/>
        <w:autoSpaceDE w:val="0"/>
        <w:autoSpaceDN w:val="0"/>
        <w:spacing w:line="360" w:lineRule="exact"/>
        <w:ind w:firstLine="420" w:firstLineChars="200"/>
        <w:rPr>
          <w:rFonts w:ascii="Times New Roman" w:hAnsi="Times New Roman"/>
        </w:rPr>
      </w:pPr>
      <w:r>
        <w:rPr>
          <w:rFonts w:ascii="Times New Roman" w:hAnsi="Times New Roman"/>
          <w:kern w:val="0"/>
          <w:szCs w:val="20"/>
        </w:rPr>
        <w:t>请注意本文件的某些内容可能涉及专利。本文件的发布机构不承担识别专利的责任。</w:t>
      </w:r>
    </w:p>
    <w:p w14:paraId="3C212E1D">
      <w:pPr>
        <w:widowControl/>
        <w:autoSpaceDE w:val="0"/>
        <w:autoSpaceDN w:val="0"/>
        <w:spacing w:line="360" w:lineRule="exact"/>
        <w:ind w:firstLine="420" w:firstLineChars="200"/>
        <w:rPr>
          <w:rFonts w:ascii="Times New Roman" w:hAnsi="Times New Roman"/>
        </w:rPr>
      </w:pPr>
      <w:r>
        <w:rPr>
          <w:rFonts w:ascii="Times New Roman" w:hAnsi="Times New Roman"/>
          <w:kern w:val="0"/>
          <w:szCs w:val="20"/>
        </w:rPr>
        <w:t>本文件由中国机械工业联合会提出。</w:t>
      </w:r>
    </w:p>
    <w:p w14:paraId="690D6BEB">
      <w:pPr>
        <w:widowControl/>
        <w:autoSpaceDE w:val="0"/>
        <w:autoSpaceDN w:val="0"/>
        <w:spacing w:line="360" w:lineRule="exact"/>
        <w:ind w:firstLine="420" w:firstLineChars="200"/>
        <w:rPr>
          <w:rFonts w:ascii="Times New Roman" w:hAnsi="Times New Roman"/>
        </w:rPr>
      </w:pPr>
      <w:r>
        <w:rPr>
          <w:rFonts w:ascii="Times New Roman" w:hAnsi="Times New Roman"/>
          <w:kern w:val="0"/>
          <w:szCs w:val="20"/>
        </w:rPr>
        <w:t>本文件由机械工业食品机械标准化技术委员会（CMIF/TC</w:t>
      </w:r>
      <w:r>
        <w:rPr>
          <w:rFonts w:hint="eastAsia" w:ascii="Times New Roman" w:hAnsi="Times New Roman"/>
          <w:kern w:val="0"/>
          <w:szCs w:val="20"/>
        </w:rPr>
        <w:t xml:space="preserve"> </w:t>
      </w:r>
      <w:r>
        <w:rPr>
          <w:rFonts w:ascii="Times New Roman" w:hAnsi="Times New Roman"/>
          <w:kern w:val="0"/>
          <w:szCs w:val="20"/>
        </w:rPr>
        <w:t>14）归口。</w:t>
      </w:r>
    </w:p>
    <w:p w14:paraId="6299FC74">
      <w:pPr>
        <w:widowControl/>
        <w:autoSpaceDE w:val="0"/>
        <w:autoSpaceDN w:val="0"/>
        <w:spacing w:line="360" w:lineRule="exact"/>
        <w:ind w:firstLine="420" w:firstLineChars="200"/>
        <w:rPr>
          <w:rFonts w:ascii="Times New Roman" w:hAnsi="Times New Roman"/>
          <w:kern w:val="0"/>
          <w:szCs w:val="20"/>
        </w:rPr>
      </w:pPr>
      <w:r>
        <w:rPr>
          <w:rFonts w:ascii="Times New Roman" w:hAnsi="Times New Roman"/>
          <w:kern w:val="0"/>
          <w:szCs w:val="20"/>
        </w:rPr>
        <w:t>本文件起草单位：</w:t>
      </w:r>
      <w:bookmarkStart w:id="30" w:name="_Hlk114497132"/>
      <w:r>
        <w:rPr>
          <w:rFonts w:hint="eastAsia" w:ascii="Times New Roman" w:hAnsi="Times New Roman"/>
          <w:kern w:val="0"/>
          <w:szCs w:val="20"/>
        </w:rPr>
        <w:t>中国包装和食品机械有限公司</w:t>
      </w:r>
      <w:r>
        <w:rPr>
          <w:rFonts w:hint="eastAsia" w:ascii="宋体" w:hAnsi="宋体"/>
          <w:kern w:val="0"/>
          <w:sz w:val="24"/>
          <w:szCs w:val="24"/>
        </w:rPr>
        <w:t>、</w:t>
      </w:r>
      <w:r>
        <w:rPr>
          <w:rFonts w:hint="eastAsia" w:ascii="Times New Roman" w:hAnsi="Times New Roman"/>
          <w:kern w:val="0"/>
          <w:szCs w:val="20"/>
        </w:rPr>
        <w:t>中国农业大学、中国农业机械化科学研究院集团有限公司</w:t>
      </w:r>
      <w:bookmarkEnd w:id="30"/>
      <w:r>
        <w:rPr>
          <w:rFonts w:hint="eastAsia" w:ascii="Times New Roman" w:hAnsi="Times New Roman"/>
          <w:kern w:val="0"/>
          <w:szCs w:val="20"/>
        </w:rPr>
        <w:t>、******</w:t>
      </w:r>
      <w:r>
        <w:rPr>
          <w:rFonts w:ascii="Times New Roman" w:hAnsi="Times New Roman"/>
          <w:kern w:val="0"/>
          <w:szCs w:val="20"/>
        </w:rPr>
        <w:t>。</w:t>
      </w:r>
    </w:p>
    <w:p w14:paraId="503D217E">
      <w:pPr>
        <w:widowControl/>
        <w:autoSpaceDE w:val="0"/>
        <w:autoSpaceDN w:val="0"/>
        <w:spacing w:line="360" w:lineRule="exact"/>
        <w:ind w:firstLine="420" w:firstLineChars="200"/>
        <w:rPr>
          <w:rFonts w:ascii="Times New Roman" w:hAnsi="Times New Roman"/>
          <w:kern w:val="0"/>
          <w:szCs w:val="20"/>
        </w:rPr>
      </w:pPr>
      <w:r>
        <w:rPr>
          <w:rFonts w:ascii="Times New Roman" w:hAnsi="Times New Roman"/>
          <w:kern w:val="0"/>
          <w:szCs w:val="20"/>
        </w:rPr>
        <w:t>本文件主要起草人：</w:t>
      </w:r>
    </w:p>
    <w:p w14:paraId="7135F745">
      <w:pPr>
        <w:ind w:firstLine="420"/>
        <w:rPr>
          <w:rFonts w:ascii="Times New Roman" w:hAnsi="Times New Roman"/>
          <w:color w:val="FF0000"/>
          <w:kern w:val="0"/>
          <w:sz w:val="18"/>
          <w:szCs w:val="18"/>
        </w:rPr>
      </w:pPr>
      <w:r>
        <w:rPr>
          <w:rFonts w:hint="eastAsia" w:ascii="Times New Roman" w:hAnsi="Times New Roman"/>
          <w:kern w:val="0"/>
          <w:szCs w:val="20"/>
        </w:rPr>
        <w:t xml:space="preserve">本文件为首次发布。 </w:t>
      </w:r>
    </w:p>
    <w:p w14:paraId="4CED1357">
      <w:pPr>
        <w:ind w:firstLine="420"/>
        <w:sectPr>
          <w:headerReference r:id="rId9" w:type="even"/>
          <w:pgSz w:w="11906" w:h="16838"/>
          <w:pgMar w:top="1418" w:right="1134" w:bottom="1134" w:left="1418" w:header="1418" w:footer="1134" w:gutter="284"/>
          <w:pgNumType w:fmt="upperRoman"/>
          <w:cols w:space="425" w:num="1"/>
          <w:formProt w:val="0"/>
          <w:docGrid w:linePitch="312" w:charSpace="0"/>
        </w:sectPr>
      </w:pPr>
      <w:r>
        <w:rPr>
          <w:rFonts w:hint="eastAsia"/>
        </w:rPr>
        <w:t xml:space="preserve"> </w:t>
      </w:r>
    </w:p>
    <w:bookmarkEnd w:id="25"/>
    <w:p w14:paraId="3006D4C4">
      <w:pPr>
        <w:spacing w:line="20" w:lineRule="exact"/>
        <w:ind w:firstLine="640"/>
        <w:jc w:val="center"/>
        <w:rPr>
          <w:rFonts w:hint="eastAsia" w:ascii="黑体" w:hAnsi="黑体" w:eastAsia="黑体"/>
          <w:sz w:val="32"/>
          <w:szCs w:val="32"/>
        </w:rPr>
      </w:pPr>
      <w:bookmarkStart w:id="31" w:name="BookMark4"/>
    </w:p>
    <w:p w14:paraId="0A874DD0">
      <w:pPr>
        <w:spacing w:line="20" w:lineRule="exact"/>
        <w:ind w:firstLine="640"/>
        <w:jc w:val="center"/>
        <w:rPr>
          <w:rFonts w:hint="eastAsia" w:ascii="黑体" w:hAnsi="黑体" w:eastAsia="黑体"/>
          <w:sz w:val="32"/>
          <w:szCs w:val="32"/>
        </w:rPr>
      </w:pPr>
    </w:p>
    <w:p w14:paraId="340BDDE2">
      <w:pPr>
        <w:spacing w:line="20" w:lineRule="exact"/>
        <w:ind w:firstLine="640"/>
        <w:jc w:val="center"/>
        <w:rPr>
          <w:rFonts w:hint="eastAsia" w:ascii="黑体" w:hAnsi="黑体" w:eastAsia="黑体"/>
          <w:sz w:val="32"/>
          <w:szCs w:val="32"/>
        </w:rPr>
      </w:pPr>
    </w:p>
    <w:p w14:paraId="1FAB15F7">
      <w:pPr>
        <w:spacing w:line="20" w:lineRule="exact"/>
        <w:ind w:firstLine="640"/>
        <w:jc w:val="center"/>
        <w:rPr>
          <w:rFonts w:hint="eastAsia" w:ascii="黑体" w:hAnsi="黑体" w:eastAsia="黑体"/>
          <w:sz w:val="32"/>
          <w:szCs w:val="32"/>
        </w:rPr>
      </w:pPr>
    </w:p>
    <w:p w14:paraId="6E2C5D2B">
      <w:pPr>
        <w:spacing w:line="20" w:lineRule="exact"/>
        <w:ind w:firstLine="640"/>
        <w:jc w:val="center"/>
        <w:rPr>
          <w:rFonts w:hint="eastAsia" w:ascii="黑体" w:hAnsi="黑体" w:eastAsia="黑体"/>
          <w:sz w:val="32"/>
          <w:szCs w:val="32"/>
        </w:rPr>
      </w:pPr>
    </w:p>
    <w:p w14:paraId="43CFEC3C">
      <w:pPr>
        <w:spacing w:line="20" w:lineRule="exact"/>
        <w:ind w:firstLine="640"/>
        <w:jc w:val="center"/>
        <w:rPr>
          <w:rFonts w:hint="eastAsia" w:ascii="黑体" w:hAnsi="黑体" w:eastAsia="黑体"/>
          <w:sz w:val="32"/>
          <w:szCs w:val="32"/>
        </w:rPr>
      </w:pPr>
    </w:p>
    <w:p w14:paraId="2BCFDD6D">
      <w:pPr>
        <w:spacing w:line="20" w:lineRule="exact"/>
        <w:ind w:firstLine="640"/>
        <w:jc w:val="center"/>
        <w:rPr>
          <w:rFonts w:hint="eastAsia" w:ascii="黑体" w:hAnsi="黑体" w:eastAsia="黑体"/>
          <w:sz w:val="32"/>
          <w:szCs w:val="32"/>
        </w:rPr>
      </w:pPr>
    </w:p>
    <w:p w14:paraId="791A817B">
      <w:pPr>
        <w:pStyle w:val="161"/>
        <w:numPr>
          <w:ilvl w:val="0"/>
          <w:numId w:val="35"/>
        </w:numPr>
        <w:rPr>
          <w:rFonts w:hint="eastAsia" w:ascii="等线 Light" w:hAnsi="等线 Light"/>
          <w:bCs/>
          <w:szCs w:val="32"/>
        </w:rPr>
      </w:pPr>
      <w:bookmarkStart w:id="32" w:name="_Toc18877"/>
      <w:bookmarkStart w:id="33" w:name="_Toc31127"/>
      <w:bookmarkStart w:id="34" w:name="_Toc28176"/>
      <w:r>
        <w:rPr>
          <w:rFonts w:hint="eastAsia" w:ascii="等线 Light" w:hAnsi="等线 Light"/>
          <w:bCs/>
          <w:szCs w:val="32"/>
        </w:rPr>
        <w:t>引  言</w:t>
      </w:r>
      <w:bookmarkEnd w:id="32"/>
      <w:bookmarkEnd w:id="33"/>
      <w:bookmarkEnd w:id="34"/>
    </w:p>
    <w:p w14:paraId="351F9D79">
      <w:pPr>
        <w:widowControl/>
        <w:autoSpaceDE w:val="0"/>
        <w:autoSpaceDN w:val="0"/>
        <w:spacing w:line="360" w:lineRule="exact"/>
        <w:ind w:firstLine="420" w:firstLineChars="200"/>
        <w:jc w:val="both"/>
        <w:rPr>
          <w:rFonts w:ascii="Times New Roman" w:hAnsi="Times New Roman"/>
          <w:kern w:val="0"/>
          <w:szCs w:val="20"/>
        </w:rPr>
      </w:pPr>
      <w:r>
        <w:rPr>
          <w:rFonts w:hint="eastAsia" w:ascii="Times New Roman" w:hAnsi="Times New Roman"/>
          <w:kern w:val="0"/>
          <w:szCs w:val="20"/>
        </w:rPr>
        <w:t>近年来，随着西式快餐的普及和消费者对方便食品需求的增加，速冻薯条市场规模不断扩大，而传统的人工操作模式难以满足当前速冻薯条的市场需求量且人工成本逐年攀升，促使企业亟需转型升级，以先进的自动化速冻薯条加工成套设备替代传统人工操作成为行业发展新趋势。该成套设备涵盖马铃薯清洗、去皮、切条、漂烫、油炸、速冻、包装等全流程工序，不仅能显著提升生产效率、降低人力成本，还可以通过精准的工艺参数控制，保证薯条形状、口感和营养成分的稳定，有效减少因人工操作导致的品质波动和污染风险，在食品加工业中拥有广阔的市场应用前景。</w:t>
      </w:r>
    </w:p>
    <w:p w14:paraId="148A4A3A">
      <w:pPr>
        <w:widowControl/>
        <w:autoSpaceDE w:val="0"/>
        <w:autoSpaceDN w:val="0"/>
        <w:spacing w:line="360" w:lineRule="exact"/>
        <w:ind w:firstLine="420" w:firstLineChars="200"/>
        <w:jc w:val="both"/>
        <w:rPr>
          <w:rFonts w:ascii="Times New Roman" w:hAnsi="Times New Roman"/>
          <w:kern w:val="0"/>
          <w:szCs w:val="20"/>
        </w:rPr>
      </w:pPr>
      <w:r>
        <w:rPr>
          <w:rFonts w:hint="eastAsia" w:ascii="Times New Roman" w:hAnsi="Times New Roman"/>
          <w:kern w:val="0"/>
          <w:szCs w:val="20"/>
        </w:rPr>
        <w:t>速冻薯条加工成套设备性能会直接影响产品质量和企业效益，是推动速冻薯条产业规模化、标准化发展的重要支撑。本文件立足市场对速冻薯条加工成套设备的实际需求，着力解决设备在材料、制造质量、安全防护和卫生要求等方面无标可依的问题，为速冻薯条加工成套设备的制造、性能试验和验收提供技术依据，为速冻薯条加工成套设备的推广应用提供标准规范。可以被设备制造、使用和监督单位广泛采用，有利于指导制造、运输和贮存等管理工作，有利于质量管控和提高企业技术水平，对规范企业行为、维护营商环境和保障使用者利益等具有重要作用。</w:t>
      </w:r>
    </w:p>
    <w:p w14:paraId="69F5E257">
      <w:pPr>
        <w:widowControl/>
        <w:autoSpaceDE w:val="0"/>
        <w:autoSpaceDN w:val="0"/>
        <w:spacing w:line="360" w:lineRule="exact"/>
        <w:ind w:firstLine="420" w:firstLineChars="200"/>
        <w:jc w:val="both"/>
        <w:rPr>
          <w:rFonts w:ascii="Times New Roman" w:hAnsi="Times New Roman"/>
          <w:kern w:val="0"/>
          <w:szCs w:val="20"/>
        </w:rPr>
      </w:pPr>
    </w:p>
    <w:p w14:paraId="3D479C67">
      <w:pPr>
        <w:spacing w:line="20" w:lineRule="exact"/>
        <w:ind w:firstLine="640"/>
        <w:jc w:val="center"/>
        <w:rPr>
          <w:rFonts w:hint="eastAsia" w:ascii="黑体" w:hAnsi="黑体" w:eastAsia="黑体"/>
          <w:sz w:val="32"/>
          <w:szCs w:val="32"/>
        </w:rPr>
      </w:pPr>
    </w:p>
    <w:p w14:paraId="68001020">
      <w:pPr>
        <w:spacing w:line="20" w:lineRule="exact"/>
        <w:ind w:firstLine="640"/>
        <w:jc w:val="center"/>
        <w:rPr>
          <w:rFonts w:hint="eastAsia" w:ascii="黑体" w:hAnsi="黑体" w:eastAsia="黑体"/>
          <w:sz w:val="32"/>
          <w:szCs w:val="32"/>
        </w:rPr>
      </w:pPr>
    </w:p>
    <w:p w14:paraId="6595BCA7">
      <w:pPr>
        <w:spacing w:line="480" w:lineRule="auto"/>
        <w:ind w:firstLine="640"/>
        <w:jc w:val="center"/>
        <w:rPr>
          <w:rFonts w:hint="eastAsia" w:ascii="黑体" w:hAnsi="黑体" w:eastAsia="黑体"/>
          <w:sz w:val="32"/>
          <w:szCs w:val="32"/>
        </w:rPr>
      </w:pPr>
    </w:p>
    <w:p w14:paraId="4824D6FA">
      <w:pPr>
        <w:spacing w:line="240" w:lineRule="auto"/>
        <w:ind w:firstLine="640"/>
        <w:jc w:val="center"/>
        <w:rPr>
          <w:rFonts w:hint="eastAsia" w:ascii="黑体" w:hAnsi="黑体" w:eastAsia="黑体"/>
          <w:sz w:val="32"/>
          <w:szCs w:val="32"/>
        </w:rPr>
      </w:pPr>
    </w:p>
    <w:p w14:paraId="424D7BF3">
      <w:pPr>
        <w:pStyle w:val="161"/>
        <w:numPr>
          <w:ilvl w:val="0"/>
          <w:numId w:val="35"/>
        </w:numPr>
        <w:spacing w:before="849" w:after="680"/>
        <w:sectPr>
          <w:footerReference r:id="rId10" w:type="default"/>
          <w:footerReference r:id="rId11" w:type="even"/>
          <w:pgSz w:w="11906" w:h="16838"/>
          <w:pgMar w:top="1418" w:right="1134" w:bottom="1134" w:left="1418" w:header="1418" w:footer="1134" w:gutter="284"/>
          <w:pgNumType w:start="1"/>
          <w:cols w:space="425" w:num="1"/>
          <w:formProt w:val="0"/>
          <w:docGrid w:linePitch="312" w:charSpace="0"/>
        </w:sectPr>
      </w:pPr>
      <w:bookmarkStart w:id="35" w:name="_Toc120107380"/>
      <w:bookmarkStart w:id="36" w:name="_Toc114578759"/>
      <w:bookmarkStart w:id="37" w:name="_Toc114578708"/>
      <w:bookmarkStart w:id="38" w:name="_Toc196411770"/>
      <w:bookmarkStart w:id="39" w:name="_Toc26868"/>
      <w:bookmarkStart w:id="40" w:name="_Toc19457"/>
      <w:bookmarkStart w:id="41" w:name="NEW_STAND_NAME"/>
      <w:bookmarkStart w:id="42" w:name="_Toc103784687"/>
      <w:bookmarkStart w:id="43" w:name="_Toc107129069"/>
      <w:bookmarkStart w:id="44" w:name="_Toc103786124"/>
      <w:bookmarkStart w:id="45" w:name="_Toc108883466"/>
      <w:bookmarkStart w:id="46" w:name="_Toc103786071"/>
      <w:bookmarkStart w:id="47" w:name="_Toc103873475"/>
      <w:bookmarkStart w:id="48" w:name="_Toc109500881"/>
    </w:p>
    <w:p w14:paraId="17D1861C">
      <w:pPr>
        <w:pStyle w:val="161"/>
        <w:numPr>
          <w:ilvl w:val="0"/>
          <w:numId w:val="35"/>
        </w:numPr>
        <w:spacing w:before="849" w:after="680"/>
      </w:pPr>
      <w:bookmarkStart w:id="49" w:name="_Toc30511"/>
      <w:bookmarkStart w:id="50" w:name="_Toc3643"/>
      <w:bookmarkStart w:id="51" w:name="_Toc7121"/>
      <w:bookmarkStart w:id="52" w:name="_Toc204448551"/>
      <w:bookmarkStart w:id="53" w:name="_Toc204068437"/>
      <w:bookmarkStart w:id="54" w:name="_Toc10732"/>
      <w:bookmarkStart w:id="55" w:name="_Toc21395"/>
      <w:bookmarkStart w:id="56" w:name="_Toc29333"/>
      <w:bookmarkStart w:id="57" w:name="_Toc31995"/>
      <w:bookmarkStart w:id="58" w:name="_Toc21668"/>
      <w:bookmarkStart w:id="59" w:name="_Toc29505"/>
      <w:r>
        <w:rPr>
          <w:rFonts w:hint="eastAsia"/>
        </w:rPr>
        <w:t xml:space="preserve">食品机械 </w:t>
      </w:r>
      <w:r>
        <w:t xml:space="preserve"> </w:t>
      </w:r>
      <w:r>
        <w:rPr>
          <w:rFonts w:hint="eastAsia"/>
        </w:rPr>
        <w:t>速冻薯条</w:t>
      </w:r>
      <w:bookmarkEnd w:id="35"/>
      <w:bookmarkEnd w:id="36"/>
      <w:bookmarkEnd w:id="37"/>
      <w:r>
        <w:rPr>
          <w:rFonts w:hint="eastAsia"/>
        </w:rPr>
        <w:t>加工成套设备</w:t>
      </w:r>
      <w:bookmarkEnd w:id="38"/>
      <w:bookmarkEnd w:id="39"/>
      <w:bookmarkEnd w:id="40"/>
      <w:bookmarkEnd w:id="49"/>
      <w:bookmarkEnd w:id="50"/>
      <w:bookmarkEnd w:id="51"/>
      <w:bookmarkEnd w:id="52"/>
      <w:bookmarkEnd w:id="53"/>
      <w:bookmarkEnd w:id="54"/>
      <w:bookmarkEnd w:id="55"/>
      <w:bookmarkEnd w:id="56"/>
      <w:bookmarkEnd w:id="57"/>
      <w:bookmarkEnd w:id="58"/>
      <w:bookmarkEnd w:id="59"/>
    </w:p>
    <w:bookmarkEnd w:id="41"/>
    <w:bookmarkEnd w:id="42"/>
    <w:bookmarkEnd w:id="43"/>
    <w:bookmarkEnd w:id="44"/>
    <w:bookmarkEnd w:id="45"/>
    <w:bookmarkEnd w:id="46"/>
    <w:bookmarkEnd w:id="47"/>
    <w:bookmarkEnd w:id="48"/>
    <w:p w14:paraId="3D79F6A8">
      <w:pPr>
        <w:pStyle w:val="268"/>
        <w:numPr>
          <w:ilvl w:val="1"/>
          <w:numId w:val="35"/>
        </w:numPr>
        <w:spacing w:before="240" w:after="240" w:line="240" w:lineRule="auto"/>
        <w:jc w:val="both"/>
        <w:rPr>
          <w:rFonts w:hint="eastAsia"/>
        </w:rPr>
      </w:pPr>
      <w:bookmarkStart w:id="60" w:name="_Toc942024"/>
      <w:bookmarkEnd w:id="60"/>
      <w:bookmarkStart w:id="61" w:name="_Toc1651887"/>
      <w:bookmarkEnd w:id="61"/>
      <w:bookmarkStart w:id="62" w:name="_Toc942353"/>
      <w:bookmarkEnd w:id="62"/>
      <w:bookmarkStart w:id="63" w:name="_Toc196411771"/>
      <w:bookmarkStart w:id="64" w:name="_Toc22762"/>
      <w:bookmarkStart w:id="65" w:name="_Toc3860"/>
      <w:bookmarkStart w:id="66" w:name="_Toc19286"/>
      <w:bookmarkStart w:id="67" w:name="_Toc14658"/>
      <w:bookmarkStart w:id="68" w:name="_Toc28041"/>
      <w:bookmarkStart w:id="69" w:name="_Toc45616725"/>
      <w:bookmarkStart w:id="70" w:name="_Toc24884212"/>
      <w:bookmarkStart w:id="71" w:name="_Toc17233334"/>
      <w:bookmarkStart w:id="72" w:name="_Toc26648466"/>
      <w:bookmarkStart w:id="73" w:name="_Toc24884219"/>
      <w:bookmarkStart w:id="74" w:name="_Toc17233326"/>
      <w:r>
        <w:rPr>
          <w:rFonts w:hint="eastAsia"/>
        </w:rPr>
        <w:t>范围</w:t>
      </w:r>
      <w:bookmarkEnd w:id="63"/>
      <w:bookmarkEnd w:id="64"/>
      <w:bookmarkEnd w:id="65"/>
      <w:bookmarkEnd w:id="66"/>
      <w:bookmarkEnd w:id="67"/>
      <w:bookmarkEnd w:id="68"/>
    </w:p>
    <w:bookmarkEnd w:id="69"/>
    <w:p w14:paraId="0EE2B5A1">
      <w:pPr>
        <w:widowControl/>
        <w:autoSpaceDE w:val="0"/>
        <w:autoSpaceDN w:val="0"/>
        <w:adjustRightInd/>
        <w:spacing w:line="240" w:lineRule="auto"/>
        <w:ind w:firstLine="420" w:firstLineChars="200"/>
        <w:jc w:val="both"/>
        <w:rPr>
          <w:rFonts w:ascii="Times New Roman" w:hAnsi="Times New Roman"/>
        </w:rPr>
      </w:pPr>
      <w:r>
        <w:rPr>
          <w:rFonts w:hint="eastAsia" w:ascii="Times New Roman" w:hAnsi="Times New Roman"/>
        </w:rPr>
        <w:t>本文件规定了速冻薯条加工成套设备的</w:t>
      </w:r>
      <w:bookmarkStart w:id="75" w:name="_Hlk164414686"/>
      <w:r>
        <w:rPr>
          <w:rFonts w:hint="eastAsia" w:ascii="Times New Roman" w:hAnsi="Times New Roman"/>
        </w:rPr>
        <w:t>型号与组成、技术要求，</w:t>
      </w:r>
      <w:r>
        <w:rPr>
          <w:rFonts w:hint="eastAsia"/>
        </w:rPr>
        <w:t>描述了相应的试验方法，</w:t>
      </w:r>
      <w:r>
        <w:rPr>
          <w:rFonts w:hint="eastAsia" w:ascii="Times New Roman" w:hAnsi="Times New Roman"/>
        </w:rPr>
        <w:t>规定了</w:t>
      </w:r>
      <w:r>
        <w:rPr>
          <w:rFonts w:hint="eastAsia"/>
        </w:rPr>
        <w:t>检验规则及标志、包装、运输和贮存要求</w:t>
      </w:r>
      <w:bookmarkEnd w:id="75"/>
      <w:r>
        <w:rPr>
          <w:rFonts w:hint="eastAsia"/>
        </w:rPr>
        <w:t>。</w:t>
      </w:r>
    </w:p>
    <w:p w14:paraId="0DC91438">
      <w:pPr>
        <w:pStyle w:val="65"/>
        <w:ind w:firstLine="420"/>
        <w:rPr>
          <w:rFonts w:ascii="Times New Roman"/>
          <w:kern w:val="2"/>
          <w:szCs w:val="21"/>
        </w:rPr>
      </w:pPr>
      <w:r>
        <w:rPr>
          <w:rFonts w:hint="eastAsia" w:ascii="Times New Roman"/>
          <w:kern w:val="2"/>
          <w:szCs w:val="21"/>
        </w:rPr>
        <w:t>本文件适用于速冻薯条加工成套设备的制造。</w:t>
      </w:r>
    </w:p>
    <w:p w14:paraId="589EA112">
      <w:pPr>
        <w:pStyle w:val="268"/>
        <w:numPr>
          <w:ilvl w:val="1"/>
          <w:numId w:val="35"/>
        </w:numPr>
        <w:spacing w:before="240" w:after="240" w:line="240" w:lineRule="auto"/>
        <w:jc w:val="both"/>
        <w:rPr>
          <w:rFonts w:hint="eastAsia"/>
        </w:rPr>
      </w:pPr>
      <w:bookmarkStart w:id="76" w:name="_Toc103873477"/>
      <w:bookmarkEnd w:id="76"/>
      <w:bookmarkStart w:id="77" w:name="_Toc103786073"/>
      <w:bookmarkEnd w:id="77"/>
      <w:bookmarkStart w:id="78" w:name="_Toc103784689"/>
      <w:bookmarkEnd w:id="78"/>
      <w:bookmarkStart w:id="79" w:name="_Toc503"/>
      <w:bookmarkStart w:id="80" w:name="_Toc77186036"/>
      <w:bookmarkStart w:id="81" w:name="_Toc85527744"/>
      <w:bookmarkStart w:id="82" w:name="_Toc85527723"/>
      <w:bookmarkStart w:id="83" w:name="_Toc196411772"/>
      <w:bookmarkStart w:id="84" w:name="_Toc11282"/>
      <w:bookmarkStart w:id="85" w:name="_Toc76532361"/>
      <w:bookmarkStart w:id="86" w:name="_Toc94259926"/>
      <w:bookmarkStart w:id="87" w:name="_Toc26986772"/>
      <w:bookmarkStart w:id="88" w:name="_Toc16008"/>
      <w:bookmarkStart w:id="89" w:name="_Toc76902174"/>
      <w:bookmarkStart w:id="90" w:name="_Toc26986531"/>
      <w:bookmarkStart w:id="91" w:name="_Toc77186018"/>
      <w:bookmarkStart w:id="92" w:name="_Toc76532482"/>
      <w:bookmarkStart w:id="93" w:name="_Toc13752"/>
      <w:bookmarkStart w:id="94" w:name="_Toc26718931"/>
      <w:bookmarkStart w:id="95" w:name="_Toc21715"/>
      <w:r>
        <w:rPr>
          <w:rFonts w:hint="eastAsia"/>
        </w:rPr>
        <w:t>规范性引用文件</w:t>
      </w:r>
      <w:bookmarkEnd w:id="70"/>
      <w:bookmarkEnd w:id="71"/>
      <w:bookmarkEnd w:id="72"/>
      <w:bookmarkEnd w:id="73"/>
      <w:bookmarkEnd w:id="74"/>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6C4DBC68">
      <w:pPr>
        <w:widowControl/>
        <w:autoSpaceDE w:val="0"/>
        <w:autoSpaceDN w:val="0"/>
        <w:adjustRightInd/>
        <w:spacing w:line="240" w:lineRule="auto"/>
        <w:ind w:firstLine="420" w:firstLineChars="200"/>
        <w:jc w:val="both"/>
        <w:rPr>
          <w:rFonts w:ascii="Times New Roman"/>
        </w:rPr>
      </w:pPr>
      <w:r>
        <w:rPr>
          <w:rFonts w:hint="eastAsia" w:ascii="Times New Roman" w:hAns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9D0D5E8">
      <w:pPr>
        <w:widowControl/>
        <w:autoSpaceDE w:val="0"/>
        <w:autoSpaceDN w:val="0"/>
        <w:spacing w:line="240" w:lineRule="auto"/>
        <w:ind w:firstLine="420" w:firstLineChars="200"/>
        <w:jc w:val="both"/>
        <w:rPr>
          <w:rFonts w:hint="eastAsia" w:ascii="宋体" w:hAnsi="宋体"/>
          <w:kern w:val="0"/>
        </w:rPr>
      </w:pPr>
      <w:bookmarkStart w:id="96" w:name="_Toc77186019"/>
      <w:bookmarkStart w:id="97" w:name="_Toc94259927"/>
      <w:bookmarkStart w:id="98" w:name="_Toc76532483"/>
      <w:bookmarkStart w:id="99" w:name="_Hlk103073781"/>
      <w:bookmarkStart w:id="100" w:name="_Toc77186037"/>
      <w:bookmarkStart w:id="101" w:name="_Toc76902175"/>
      <w:bookmarkStart w:id="102" w:name="_Toc85527745"/>
      <w:bookmarkStart w:id="103" w:name="_Toc85527724"/>
      <w:bookmarkStart w:id="104" w:name="_Toc76532362"/>
      <w:r>
        <w:rPr>
          <w:rFonts w:ascii="宋体" w:hAnsi="宋体"/>
          <w:kern w:val="0"/>
        </w:rPr>
        <w:t xml:space="preserve">GB/T 191  </w:t>
      </w:r>
      <w:r>
        <w:rPr>
          <w:rFonts w:hint="eastAsia" w:ascii="宋体" w:hAnsi="宋体"/>
          <w:kern w:val="0"/>
        </w:rPr>
        <w:t>包装储运图示标志</w:t>
      </w:r>
    </w:p>
    <w:p w14:paraId="2BCFFE9F">
      <w:pPr>
        <w:widowControl/>
        <w:autoSpaceDE w:val="0"/>
        <w:autoSpaceDN w:val="0"/>
        <w:spacing w:line="240" w:lineRule="auto"/>
        <w:ind w:firstLine="420" w:firstLineChars="200"/>
        <w:jc w:val="both"/>
        <w:rPr>
          <w:rFonts w:hint="eastAsia" w:ascii="宋体" w:hAnsi="宋体"/>
          <w:kern w:val="0"/>
        </w:rPr>
      </w:pPr>
      <w:r>
        <w:rPr>
          <w:rFonts w:ascii="宋体" w:hAnsi="宋体"/>
          <w:kern w:val="0"/>
        </w:rPr>
        <w:t xml:space="preserve">GB 2894  </w:t>
      </w:r>
      <w:r>
        <w:rPr>
          <w:rFonts w:hint="eastAsia" w:ascii="宋体" w:hAnsi="宋体"/>
          <w:kern w:val="0"/>
        </w:rPr>
        <w:t>安全标志及其使用导则</w:t>
      </w:r>
    </w:p>
    <w:p w14:paraId="2EB50DA0">
      <w:pPr>
        <w:widowControl/>
        <w:autoSpaceDE w:val="0"/>
        <w:autoSpaceDN w:val="0"/>
        <w:spacing w:line="240" w:lineRule="auto"/>
        <w:ind w:firstLine="420" w:firstLineChars="200"/>
        <w:jc w:val="both"/>
        <w:rPr>
          <w:rFonts w:hint="eastAsia" w:ascii="宋体" w:hAnsi="宋体"/>
          <w:kern w:val="0"/>
        </w:rPr>
      </w:pPr>
      <w:r>
        <w:rPr>
          <w:rFonts w:ascii="宋体" w:hAnsi="宋体"/>
          <w:kern w:val="0"/>
        </w:rPr>
        <w:t xml:space="preserve">GB/T 3768  声学 </w:t>
      </w:r>
      <w:r>
        <w:rPr>
          <w:rFonts w:hint="eastAsia" w:ascii="宋体" w:hAnsi="宋体"/>
          <w:kern w:val="0"/>
        </w:rPr>
        <w:t xml:space="preserve"> </w:t>
      </w:r>
      <w:r>
        <w:rPr>
          <w:rFonts w:ascii="宋体" w:hAnsi="宋体"/>
          <w:kern w:val="0"/>
        </w:rPr>
        <w:t xml:space="preserve">声压法测定噪声源声功率级和声能量级 </w:t>
      </w:r>
      <w:r>
        <w:rPr>
          <w:rFonts w:hint="eastAsia" w:ascii="宋体" w:hAnsi="宋体"/>
          <w:kern w:val="0"/>
        </w:rPr>
        <w:t xml:space="preserve"> </w:t>
      </w:r>
      <w:r>
        <w:rPr>
          <w:rFonts w:ascii="宋体" w:hAnsi="宋体"/>
          <w:kern w:val="0"/>
        </w:rPr>
        <w:t>采用反射面上方包络测量面的简易法</w:t>
      </w:r>
    </w:p>
    <w:p w14:paraId="19FADD33">
      <w:pPr>
        <w:widowControl/>
        <w:autoSpaceDE w:val="0"/>
        <w:autoSpaceDN w:val="0"/>
        <w:spacing w:line="240" w:lineRule="auto"/>
        <w:ind w:firstLine="420" w:firstLineChars="200"/>
        <w:jc w:val="both"/>
        <w:rPr>
          <w:rFonts w:hint="eastAsia" w:ascii="宋体" w:hAnsi="宋体"/>
          <w:kern w:val="0"/>
        </w:rPr>
      </w:pPr>
      <w:r>
        <w:rPr>
          <w:rFonts w:ascii="宋体" w:hAnsi="宋体"/>
          <w:kern w:val="0"/>
        </w:rPr>
        <w:t xml:space="preserve">GB/T 4208  </w:t>
      </w:r>
      <w:r>
        <w:rPr>
          <w:rFonts w:hint="eastAsia" w:ascii="宋体" w:hAnsi="宋体"/>
          <w:kern w:val="0"/>
        </w:rPr>
        <w:t>外壳防护等级（</w:t>
      </w:r>
      <w:r>
        <w:rPr>
          <w:rFonts w:ascii="宋体" w:hAnsi="宋体"/>
          <w:kern w:val="0"/>
        </w:rPr>
        <w:t>IP</w:t>
      </w:r>
      <w:r>
        <w:rPr>
          <w:rFonts w:hint="eastAsia" w:ascii="宋体" w:hAnsi="宋体"/>
          <w:kern w:val="0"/>
        </w:rPr>
        <w:t>代码）</w:t>
      </w:r>
    </w:p>
    <w:p w14:paraId="7BDA89AA">
      <w:pPr>
        <w:widowControl/>
        <w:autoSpaceDE w:val="0"/>
        <w:autoSpaceDN w:val="0"/>
        <w:spacing w:line="240" w:lineRule="auto"/>
        <w:ind w:firstLine="420" w:firstLineChars="200"/>
        <w:jc w:val="both"/>
        <w:rPr>
          <w:rFonts w:hint="eastAsia" w:ascii="宋体" w:hAnsi="宋体"/>
          <w:color w:val="000000" w:themeColor="text1"/>
          <w:kern w:val="0"/>
          <w14:textFill>
            <w14:solidFill>
              <w14:schemeClr w14:val="tx1"/>
            </w14:solidFill>
          </w14:textFill>
        </w:rPr>
      </w:pPr>
      <w:r>
        <w:rPr>
          <w:rFonts w:hint="eastAsia" w:ascii="宋体" w:hAnsi="宋体" w:cs="Arial"/>
          <w:color w:val="000000"/>
        </w:rPr>
        <w:t>GB 4706.1</w:t>
      </w:r>
      <w:r>
        <w:rPr>
          <w:rFonts w:ascii="宋体" w:hAnsi="宋体"/>
        </w:rPr>
        <w:t xml:space="preserve"> </w:t>
      </w:r>
      <w:r>
        <w:rPr>
          <w:rFonts w:ascii="宋体" w:hAnsi="宋体"/>
          <w:color w:val="000000" w:themeColor="text1"/>
          <w:kern w:val="0"/>
          <w14:textFill>
            <w14:solidFill>
              <w14:schemeClr w14:val="tx1"/>
            </w14:solidFill>
          </w14:textFill>
        </w:rPr>
        <w:t xml:space="preserve"> </w:t>
      </w:r>
      <w:r>
        <w:rPr>
          <w:rFonts w:hint="eastAsia" w:ascii="宋体" w:hAnsi="宋体"/>
        </w:rPr>
        <w:t>家用和类似用途电器的安全  第</w:t>
      </w:r>
      <w:r>
        <w:rPr>
          <w:rFonts w:ascii="宋体" w:hAnsi="宋体"/>
        </w:rPr>
        <w:t>1</w:t>
      </w:r>
      <w:r>
        <w:rPr>
          <w:rFonts w:hint="eastAsia" w:ascii="宋体" w:hAnsi="宋体"/>
        </w:rPr>
        <w:t>部分：通用要求</w:t>
      </w:r>
    </w:p>
    <w:p w14:paraId="41E2C274">
      <w:pPr>
        <w:widowControl/>
        <w:autoSpaceDE w:val="0"/>
        <w:autoSpaceDN w:val="0"/>
        <w:spacing w:line="240" w:lineRule="auto"/>
        <w:ind w:firstLine="420" w:firstLineChars="200"/>
        <w:jc w:val="both"/>
        <w:rPr>
          <w:rFonts w:hint="eastAsia" w:ascii="宋体" w:hAnsi="宋体"/>
          <w:kern w:val="0"/>
        </w:rPr>
      </w:pPr>
      <w:r>
        <w:rPr>
          <w:rFonts w:ascii="宋体" w:hAnsi="宋体"/>
          <w:kern w:val="0"/>
        </w:rPr>
        <w:t xml:space="preserve">GB 4806.1  </w:t>
      </w:r>
      <w:r>
        <w:rPr>
          <w:rFonts w:hint="eastAsia" w:ascii="宋体" w:hAnsi="宋体"/>
          <w:kern w:val="0"/>
        </w:rPr>
        <w:t>食品安全国家标准  食品接触材料及制品通用安全要求</w:t>
      </w:r>
    </w:p>
    <w:p w14:paraId="6BBA051E">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GB 5009.6  食品安全国家标准  食品中脂肪的测定</w:t>
      </w:r>
    </w:p>
    <w:p w14:paraId="1D99567E">
      <w:pPr>
        <w:widowControl/>
        <w:autoSpaceDE w:val="0"/>
        <w:autoSpaceDN w:val="0"/>
        <w:spacing w:line="240" w:lineRule="auto"/>
        <w:ind w:firstLine="420" w:firstLineChars="200"/>
        <w:jc w:val="both"/>
        <w:rPr>
          <w:rFonts w:hint="eastAsia" w:ascii="宋体" w:hAnsi="宋体"/>
          <w:kern w:val="0"/>
        </w:rPr>
      </w:pPr>
      <w:r>
        <w:rPr>
          <w:rFonts w:ascii="宋体" w:hAnsi="宋体"/>
          <w:kern w:val="0"/>
        </w:rPr>
        <w:t xml:space="preserve">GB/T 5226.1  </w:t>
      </w:r>
      <w:r>
        <w:rPr>
          <w:rFonts w:hint="eastAsia" w:ascii="宋体" w:hAnsi="宋体"/>
          <w:kern w:val="0"/>
        </w:rPr>
        <w:t>机械电气安全</w:t>
      </w:r>
      <w:r>
        <w:rPr>
          <w:rFonts w:ascii="宋体" w:hAnsi="宋体"/>
          <w:kern w:val="0"/>
        </w:rPr>
        <w:t xml:space="preserve">  </w:t>
      </w:r>
      <w:r>
        <w:rPr>
          <w:rFonts w:hint="eastAsia" w:ascii="宋体" w:hAnsi="宋体"/>
          <w:kern w:val="0"/>
        </w:rPr>
        <w:t>机械电气设备</w:t>
      </w:r>
      <w:r>
        <w:rPr>
          <w:rFonts w:ascii="宋体" w:hAnsi="宋体"/>
          <w:kern w:val="0"/>
        </w:rPr>
        <w:t xml:space="preserve">  </w:t>
      </w:r>
      <w:r>
        <w:rPr>
          <w:rFonts w:hint="eastAsia" w:ascii="宋体" w:hAnsi="宋体"/>
          <w:kern w:val="0"/>
        </w:rPr>
        <w:t>第</w:t>
      </w:r>
      <w:r>
        <w:rPr>
          <w:rFonts w:ascii="宋体" w:hAnsi="宋体"/>
          <w:kern w:val="0"/>
        </w:rPr>
        <w:t>1</w:t>
      </w:r>
      <w:r>
        <w:rPr>
          <w:rFonts w:hint="eastAsia" w:ascii="宋体" w:hAnsi="宋体"/>
          <w:kern w:val="0"/>
        </w:rPr>
        <w:t>部分：通用技术条件</w:t>
      </w:r>
    </w:p>
    <w:p w14:paraId="7C044A33">
      <w:pPr>
        <w:widowControl/>
        <w:autoSpaceDE w:val="0"/>
        <w:autoSpaceDN w:val="0"/>
        <w:spacing w:line="240" w:lineRule="auto"/>
        <w:ind w:firstLine="420" w:firstLineChars="200"/>
        <w:jc w:val="both"/>
        <w:rPr>
          <w:rFonts w:hint="eastAsia" w:ascii="宋体" w:hAnsi="宋体"/>
          <w:kern w:val="0"/>
        </w:rPr>
      </w:pPr>
      <w:r>
        <w:rPr>
          <w:rFonts w:ascii="宋体" w:hAnsi="宋体"/>
          <w:kern w:val="0"/>
        </w:rPr>
        <w:t xml:space="preserve">GB 5749  </w:t>
      </w:r>
      <w:r>
        <w:rPr>
          <w:rFonts w:hint="eastAsia" w:ascii="宋体" w:hAnsi="宋体"/>
          <w:kern w:val="0"/>
        </w:rPr>
        <w:t>生活饮用水卫生标准</w:t>
      </w:r>
    </w:p>
    <w:p w14:paraId="3DE00AB4">
      <w:pPr>
        <w:widowControl/>
        <w:autoSpaceDE w:val="0"/>
        <w:autoSpaceDN w:val="0"/>
        <w:spacing w:line="240" w:lineRule="auto"/>
        <w:ind w:firstLine="420" w:firstLineChars="200"/>
        <w:jc w:val="both"/>
        <w:rPr>
          <w:rFonts w:hint="eastAsia" w:ascii="宋体" w:hAnsi="宋体"/>
          <w:kern w:val="0"/>
        </w:rPr>
      </w:pPr>
      <w:r>
        <w:rPr>
          <w:rFonts w:ascii="宋体" w:hAnsi="宋体"/>
          <w:kern w:val="0"/>
        </w:rPr>
        <w:t xml:space="preserve">GB/T 7932  </w:t>
      </w:r>
      <w:r>
        <w:rPr>
          <w:rFonts w:hint="eastAsia" w:ascii="宋体" w:hAnsi="宋体"/>
          <w:kern w:val="0"/>
        </w:rPr>
        <w:t>气动</w:t>
      </w:r>
      <w:r>
        <w:rPr>
          <w:rFonts w:ascii="宋体" w:hAnsi="宋体"/>
          <w:kern w:val="0"/>
        </w:rPr>
        <w:t xml:space="preserve">  </w:t>
      </w:r>
      <w:r>
        <w:rPr>
          <w:rFonts w:hint="eastAsia" w:ascii="宋体" w:hAnsi="宋体"/>
          <w:kern w:val="0"/>
        </w:rPr>
        <w:t>对系统及其元件的一般规则和安全要求</w:t>
      </w:r>
    </w:p>
    <w:p w14:paraId="194AEFF6">
      <w:pPr>
        <w:widowControl/>
        <w:autoSpaceDE w:val="0"/>
        <w:autoSpaceDN w:val="0"/>
        <w:spacing w:line="240" w:lineRule="auto"/>
        <w:ind w:firstLine="420" w:firstLineChars="200"/>
        <w:jc w:val="both"/>
        <w:rPr>
          <w:rFonts w:hint="eastAsia" w:ascii="宋体" w:hAnsi="宋体"/>
          <w:kern w:val="0"/>
        </w:rPr>
      </w:pPr>
      <w:r>
        <w:rPr>
          <w:rFonts w:ascii="宋体" w:hAnsi="宋体"/>
          <w:kern w:val="0"/>
        </w:rPr>
        <w:t xml:space="preserve">GB/T 8196  </w:t>
      </w:r>
      <w:r>
        <w:rPr>
          <w:rFonts w:hint="eastAsia" w:ascii="宋体" w:hAnsi="宋体"/>
          <w:kern w:val="0"/>
        </w:rPr>
        <w:t>机械安全</w:t>
      </w:r>
      <w:r>
        <w:rPr>
          <w:rFonts w:ascii="宋体" w:hAnsi="宋体"/>
          <w:kern w:val="0"/>
        </w:rPr>
        <w:t xml:space="preserve">  </w:t>
      </w:r>
      <w:r>
        <w:rPr>
          <w:rFonts w:hint="eastAsia" w:ascii="宋体" w:hAnsi="宋体"/>
          <w:kern w:val="0"/>
        </w:rPr>
        <w:t>防护装置</w:t>
      </w:r>
      <w:r>
        <w:rPr>
          <w:rFonts w:ascii="宋体" w:hAnsi="宋体"/>
          <w:kern w:val="0"/>
        </w:rPr>
        <w:t xml:space="preserve"> </w:t>
      </w:r>
      <w:r>
        <w:rPr>
          <w:rFonts w:hint="eastAsia" w:ascii="宋体" w:hAnsi="宋体"/>
          <w:kern w:val="0"/>
        </w:rPr>
        <w:t xml:space="preserve"> 固定式和活动式防护装置的设计与制造一般要求</w:t>
      </w:r>
      <w:r>
        <w:rPr>
          <w:rFonts w:ascii="宋体" w:hAnsi="宋体"/>
          <w:kern w:val="0"/>
        </w:rPr>
        <w:t xml:space="preserve"> </w:t>
      </w:r>
    </w:p>
    <w:p w14:paraId="7EB0D02E">
      <w:pPr>
        <w:widowControl/>
        <w:autoSpaceDE w:val="0"/>
        <w:autoSpaceDN w:val="0"/>
        <w:spacing w:line="240" w:lineRule="auto"/>
        <w:ind w:firstLine="420" w:firstLineChars="200"/>
        <w:jc w:val="both"/>
        <w:rPr>
          <w:rFonts w:hint="eastAsia" w:ascii="宋体" w:hAnsi="宋体"/>
          <w:kern w:val="0"/>
        </w:rPr>
      </w:pPr>
      <w:r>
        <w:rPr>
          <w:rFonts w:ascii="宋体" w:hAnsi="宋体"/>
          <w:kern w:val="0"/>
        </w:rPr>
        <w:t xml:space="preserve">GB/T 13306  </w:t>
      </w:r>
      <w:r>
        <w:rPr>
          <w:rFonts w:hint="eastAsia" w:ascii="宋体" w:hAnsi="宋体"/>
          <w:kern w:val="0"/>
        </w:rPr>
        <w:t>标牌</w:t>
      </w:r>
    </w:p>
    <w:p w14:paraId="2A2521D3">
      <w:pPr>
        <w:widowControl/>
        <w:autoSpaceDE w:val="0"/>
        <w:autoSpaceDN w:val="0"/>
        <w:spacing w:line="240" w:lineRule="auto"/>
        <w:ind w:firstLine="420" w:firstLineChars="200"/>
        <w:jc w:val="both"/>
        <w:rPr>
          <w:rFonts w:hint="eastAsia" w:ascii="宋体" w:hAnsi="宋体"/>
          <w:kern w:val="0"/>
        </w:rPr>
      </w:pPr>
      <w:r>
        <w:rPr>
          <w:rFonts w:ascii="宋体" w:hAnsi="宋体"/>
          <w:kern w:val="0"/>
        </w:rPr>
        <w:t xml:space="preserve">GB/T 13384  </w:t>
      </w:r>
      <w:r>
        <w:rPr>
          <w:rFonts w:hint="eastAsia" w:ascii="宋体" w:hAnsi="宋体"/>
          <w:kern w:val="0"/>
        </w:rPr>
        <w:t>机电产品包装通用技术条件</w:t>
      </w:r>
    </w:p>
    <w:p w14:paraId="4ED1EE3F">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GB/T 14253  轻工机械通用技术条件</w:t>
      </w:r>
    </w:p>
    <w:p w14:paraId="138BE80E">
      <w:pPr>
        <w:widowControl/>
        <w:autoSpaceDE w:val="0"/>
        <w:autoSpaceDN w:val="0"/>
        <w:spacing w:line="240" w:lineRule="auto"/>
        <w:ind w:firstLine="420" w:firstLineChars="200"/>
        <w:jc w:val="both"/>
        <w:rPr>
          <w:rFonts w:hint="eastAsia" w:ascii="宋体" w:hAnsi="宋体"/>
          <w:kern w:val="0"/>
        </w:rPr>
      </w:pPr>
      <w:r>
        <w:rPr>
          <w:rFonts w:ascii="宋体" w:hAnsi="宋体"/>
          <w:kern w:val="0"/>
        </w:rPr>
        <w:t xml:space="preserve">GB 15179  </w:t>
      </w:r>
      <w:r>
        <w:rPr>
          <w:rFonts w:hint="eastAsia" w:ascii="宋体" w:hAnsi="宋体"/>
          <w:kern w:val="0"/>
        </w:rPr>
        <w:t>食品机械润滑油</w:t>
      </w:r>
    </w:p>
    <w:p w14:paraId="5EEA46EF">
      <w:pPr>
        <w:widowControl/>
        <w:autoSpaceDE w:val="0"/>
        <w:autoSpaceDN w:val="0"/>
        <w:spacing w:line="240" w:lineRule="auto"/>
        <w:ind w:firstLine="420" w:firstLineChars="200"/>
        <w:jc w:val="both"/>
        <w:rPr>
          <w:rFonts w:hint="eastAsia" w:ascii="宋体" w:hAnsi="宋体"/>
          <w:kern w:val="0"/>
        </w:rPr>
      </w:pPr>
      <w:r>
        <w:rPr>
          <w:rFonts w:ascii="宋体" w:hAnsi="宋体"/>
          <w:color w:val="000000" w:themeColor="text1"/>
          <w:kern w:val="0"/>
          <w14:textFill>
            <w14:solidFill>
              <w14:schemeClr w14:val="tx1"/>
            </w14:solidFill>
          </w14:textFill>
        </w:rPr>
        <w:t xml:space="preserve">GB/T 15706  机械安全 </w:t>
      </w:r>
      <w:r>
        <w:rPr>
          <w:rFonts w:hint="eastAsia" w:ascii="宋体" w:hAnsi="宋体"/>
          <w:color w:val="000000" w:themeColor="text1"/>
          <w:kern w:val="0"/>
          <w14:textFill>
            <w14:solidFill>
              <w14:schemeClr w14:val="tx1"/>
            </w14:solidFill>
          </w14:textFill>
        </w:rPr>
        <w:t xml:space="preserve"> </w:t>
      </w:r>
      <w:r>
        <w:rPr>
          <w:rFonts w:ascii="宋体" w:hAnsi="宋体"/>
          <w:color w:val="000000" w:themeColor="text1"/>
          <w:kern w:val="0"/>
          <w14:textFill>
            <w14:solidFill>
              <w14:schemeClr w14:val="tx1"/>
            </w14:solidFill>
          </w14:textFill>
        </w:rPr>
        <w:t xml:space="preserve">设计通则 </w:t>
      </w:r>
      <w:r>
        <w:rPr>
          <w:rFonts w:hint="eastAsia" w:ascii="宋体" w:hAnsi="宋体"/>
          <w:color w:val="000000" w:themeColor="text1"/>
          <w:kern w:val="0"/>
          <w14:textFill>
            <w14:solidFill>
              <w14:schemeClr w14:val="tx1"/>
            </w14:solidFill>
          </w14:textFill>
        </w:rPr>
        <w:t xml:space="preserve"> </w:t>
      </w:r>
      <w:r>
        <w:rPr>
          <w:rFonts w:ascii="宋体" w:hAnsi="宋体"/>
          <w:color w:val="000000" w:themeColor="text1"/>
          <w:kern w:val="0"/>
          <w14:textFill>
            <w14:solidFill>
              <w14:schemeClr w14:val="tx1"/>
            </w14:solidFill>
          </w14:textFill>
        </w:rPr>
        <w:t>风险评估与风险减小</w:t>
      </w:r>
    </w:p>
    <w:p w14:paraId="11306D9F">
      <w:pPr>
        <w:widowControl/>
        <w:autoSpaceDE w:val="0"/>
        <w:autoSpaceDN w:val="0"/>
        <w:spacing w:line="240" w:lineRule="auto"/>
        <w:ind w:firstLine="420" w:firstLineChars="200"/>
        <w:jc w:val="both"/>
        <w:rPr>
          <w:rFonts w:hint="eastAsia" w:ascii="宋体" w:hAnsi="宋体"/>
          <w:kern w:val="0"/>
        </w:rPr>
      </w:pPr>
      <w:r>
        <w:rPr>
          <w:rFonts w:ascii="宋体" w:hAnsi="宋体"/>
          <w:kern w:val="0"/>
        </w:rPr>
        <w:t xml:space="preserve">GB 16798  </w:t>
      </w:r>
      <w:r>
        <w:rPr>
          <w:rFonts w:hint="eastAsia" w:ascii="宋体" w:hAnsi="宋体"/>
          <w:kern w:val="0"/>
        </w:rPr>
        <w:t>食品机械安全卫生</w:t>
      </w:r>
    </w:p>
    <w:p w14:paraId="6E9F9318">
      <w:pPr>
        <w:widowControl/>
        <w:autoSpaceDE w:val="0"/>
        <w:autoSpaceDN w:val="0"/>
        <w:spacing w:line="240" w:lineRule="auto"/>
        <w:ind w:firstLine="420" w:firstLineChars="200"/>
        <w:jc w:val="both"/>
        <w:rPr>
          <w:rFonts w:hint="eastAsia" w:ascii="宋体" w:hAnsi="宋体"/>
          <w:kern w:val="0"/>
        </w:rPr>
      </w:pPr>
      <w:r>
        <w:rPr>
          <w:rFonts w:ascii="宋体" w:hAnsi="宋体"/>
          <w:kern w:val="0"/>
        </w:rPr>
        <w:t xml:space="preserve">GB/T 19891  </w:t>
      </w:r>
      <w:r>
        <w:rPr>
          <w:rFonts w:hint="eastAsia" w:ascii="宋体" w:hAnsi="宋体"/>
          <w:kern w:val="0"/>
        </w:rPr>
        <w:t>机械安全</w:t>
      </w:r>
      <w:r>
        <w:rPr>
          <w:rFonts w:ascii="宋体" w:hAnsi="宋体"/>
          <w:kern w:val="0"/>
        </w:rPr>
        <w:t xml:space="preserve"> </w:t>
      </w:r>
      <w:r>
        <w:rPr>
          <w:rFonts w:hint="eastAsia" w:ascii="宋体" w:hAnsi="宋体"/>
          <w:kern w:val="0"/>
        </w:rPr>
        <w:t xml:space="preserve"> 机械设计的卫生要求</w:t>
      </w:r>
    </w:p>
    <w:p w14:paraId="4BE6FDD0">
      <w:pPr>
        <w:widowControl/>
        <w:autoSpaceDE w:val="0"/>
        <w:autoSpaceDN w:val="0"/>
        <w:spacing w:line="240" w:lineRule="auto"/>
        <w:ind w:firstLine="420" w:firstLineChars="200"/>
        <w:jc w:val="both"/>
        <w:rPr>
          <w:rFonts w:hint="eastAsia" w:ascii="宋体" w:hAnsi="宋体"/>
          <w:kern w:val="0"/>
        </w:rPr>
      </w:pPr>
      <w:r>
        <w:rPr>
          <w:rFonts w:ascii="宋体" w:hAnsi="宋体"/>
          <w:kern w:val="0"/>
        </w:rPr>
        <w:t xml:space="preserve">GB/T 20801.1  </w:t>
      </w:r>
      <w:r>
        <w:rPr>
          <w:rFonts w:hint="eastAsia" w:ascii="宋体" w:hAnsi="宋体"/>
          <w:kern w:val="0"/>
        </w:rPr>
        <w:t>压力管道规范</w:t>
      </w:r>
      <w:r>
        <w:rPr>
          <w:rFonts w:ascii="宋体" w:hAnsi="宋体"/>
          <w:kern w:val="0"/>
        </w:rPr>
        <w:t xml:space="preserve"> </w:t>
      </w:r>
      <w:r>
        <w:rPr>
          <w:rFonts w:hint="eastAsia" w:ascii="宋体" w:hAnsi="宋体"/>
          <w:kern w:val="0"/>
        </w:rPr>
        <w:t xml:space="preserve"> 工业管道</w:t>
      </w:r>
      <w:r>
        <w:rPr>
          <w:rFonts w:ascii="宋体" w:hAnsi="宋体"/>
          <w:kern w:val="0"/>
        </w:rPr>
        <w:t xml:space="preserve"> </w:t>
      </w:r>
      <w:r>
        <w:rPr>
          <w:rFonts w:hint="eastAsia" w:ascii="宋体" w:hAnsi="宋体"/>
          <w:kern w:val="0"/>
        </w:rPr>
        <w:t xml:space="preserve"> 第</w:t>
      </w:r>
      <w:r>
        <w:rPr>
          <w:rFonts w:ascii="宋体" w:hAnsi="宋体"/>
          <w:kern w:val="0"/>
        </w:rPr>
        <w:t>1</w:t>
      </w:r>
      <w:r>
        <w:rPr>
          <w:rFonts w:hint="eastAsia" w:ascii="宋体" w:hAnsi="宋体"/>
          <w:kern w:val="0"/>
        </w:rPr>
        <w:t>部分：总则</w:t>
      </w:r>
    </w:p>
    <w:p w14:paraId="5498BDFB">
      <w:pPr>
        <w:widowControl/>
        <w:autoSpaceDE w:val="0"/>
        <w:autoSpaceDN w:val="0"/>
        <w:spacing w:line="240" w:lineRule="auto"/>
        <w:ind w:firstLine="420" w:firstLineChars="200"/>
        <w:jc w:val="both"/>
        <w:rPr>
          <w:rFonts w:hint="eastAsia" w:ascii="宋体" w:hAnsi="宋体"/>
          <w:kern w:val="0"/>
        </w:rPr>
      </w:pPr>
      <w:r>
        <w:rPr>
          <w:rFonts w:ascii="宋体" w:hAnsi="宋体"/>
          <w:kern w:val="0"/>
        </w:rPr>
        <w:t xml:space="preserve">GB/T 20801.5  </w:t>
      </w:r>
      <w:r>
        <w:rPr>
          <w:rFonts w:hint="eastAsia" w:ascii="宋体" w:hAnsi="宋体"/>
          <w:kern w:val="0"/>
        </w:rPr>
        <w:t>压力管道规范</w:t>
      </w:r>
      <w:r>
        <w:rPr>
          <w:rFonts w:ascii="宋体" w:hAnsi="宋体"/>
          <w:kern w:val="0"/>
        </w:rPr>
        <w:t xml:space="preserve"> </w:t>
      </w:r>
      <w:r>
        <w:rPr>
          <w:rFonts w:hint="eastAsia" w:ascii="宋体" w:hAnsi="宋体"/>
          <w:kern w:val="0"/>
        </w:rPr>
        <w:t xml:space="preserve"> 工业管道</w:t>
      </w:r>
      <w:r>
        <w:rPr>
          <w:rFonts w:ascii="宋体" w:hAnsi="宋体"/>
          <w:kern w:val="0"/>
        </w:rPr>
        <w:t xml:space="preserve"> </w:t>
      </w:r>
      <w:r>
        <w:rPr>
          <w:rFonts w:hint="eastAsia" w:ascii="宋体" w:hAnsi="宋体"/>
          <w:kern w:val="0"/>
        </w:rPr>
        <w:t xml:space="preserve"> 第</w:t>
      </w:r>
      <w:r>
        <w:rPr>
          <w:rFonts w:ascii="宋体" w:hAnsi="宋体"/>
          <w:kern w:val="0"/>
        </w:rPr>
        <w:t>5</w:t>
      </w:r>
      <w:r>
        <w:rPr>
          <w:rFonts w:hint="eastAsia" w:ascii="宋体" w:hAnsi="宋体"/>
          <w:kern w:val="0"/>
        </w:rPr>
        <w:t>部分：检验与试验</w:t>
      </w:r>
    </w:p>
    <w:p w14:paraId="484E1991">
      <w:pPr>
        <w:widowControl/>
        <w:autoSpaceDE w:val="0"/>
        <w:autoSpaceDN w:val="0"/>
        <w:spacing w:line="240" w:lineRule="auto"/>
        <w:ind w:firstLine="420" w:firstLineChars="200"/>
        <w:jc w:val="both"/>
        <w:rPr>
          <w:rFonts w:hint="eastAsia" w:ascii="宋体" w:hAnsi="宋体"/>
          <w:kern w:val="0"/>
        </w:rPr>
      </w:pPr>
      <w:r>
        <w:rPr>
          <w:rFonts w:ascii="宋体" w:hAnsi="宋体"/>
          <w:kern w:val="0"/>
        </w:rPr>
        <w:t xml:space="preserve">GB/T 31784  </w:t>
      </w:r>
      <w:r>
        <w:rPr>
          <w:rFonts w:hint="eastAsia" w:ascii="宋体" w:hAnsi="宋体"/>
          <w:kern w:val="0"/>
        </w:rPr>
        <w:t>马铃薯商品薯分级与检验规程</w:t>
      </w:r>
    </w:p>
    <w:p w14:paraId="4C0981F3">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SB/T 223  食品机械通用技术条件  机械加工技术要求</w:t>
      </w:r>
    </w:p>
    <w:p w14:paraId="55DC810E">
      <w:pPr>
        <w:widowControl/>
        <w:autoSpaceDE w:val="0"/>
        <w:autoSpaceDN w:val="0"/>
        <w:spacing w:line="240" w:lineRule="auto"/>
        <w:ind w:firstLine="420" w:firstLineChars="200"/>
        <w:jc w:val="both"/>
        <w:rPr>
          <w:rFonts w:hint="eastAsia" w:ascii="宋体" w:hAnsi="宋体"/>
          <w:kern w:val="0"/>
        </w:rPr>
      </w:pPr>
      <w:r>
        <w:rPr>
          <w:rFonts w:ascii="宋体" w:hAnsi="宋体"/>
          <w:kern w:val="0"/>
        </w:rPr>
        <w:t xml:space="preserve">SB/T 224  </w:t>
      </w:r>
      <w:r>
        <w:rPr>
          <w:rFonts w:hint="eastAsia" w:ascii="宋体" w:hAnsi="宋体"/>
          <w:kern w:val="0"/>
        </w:rPr>
        <w:t>食品机械通用技术条件</w:t>
      </w:r>
      <w:r>
        <w:rPr>
          <w:rFonts w:ascii="宋体" w:hAnsi="宋体"/>
          <w:kern w:val="0"/>
        </w:rPr>
        <w:t xml:space="preserve"> </w:t>
      </w:r>
      <w:r>
        <w:rPr>
          <w:rFonts w:hint="eastAsia" w:ascii="宋体" w:hAnsi="宋体"/>
          <w:kern w:val="0"/>
        </w:rPr>
        <w:t xml:space="preserve"> 装配技术要求</w:t>
      </w:r>
    </w:p>
    <w:p w14:paraId="1587727F">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SB/T 225</w:t>
      </w:r>
      <w:r>
        <w:rPr>
          <w:rFonts w:ascii="宋体" w:hAnsi="宋体"/>
          <w:kern w:val="0"/>
        </w:rPr>
        <w:t xml:space="preserve">  食品机械通用技术条件</w:t>
      </w:r>
      <w:r>
        <w:rPr>
          <w:rFonts w:hint="eastAsia" w:ascii="宋体" w:hAnsi="宋体"/>
          <w:kern w:val="0"/>
        </w:rPr>
        <w:t xml:space="preserve">  铸件技术要求</w:t>
      </w:r>
    </w:p>
    <w:p w14:paraId="6B37C347">
      <w:pPr>
        <w:widowControl/>
        <w:autoSpaceDE w:val="0"/>
        <w:autoSpaceDN w:val="0"/>
        <w:spacing w:line="240" w:lineRule="auto"/>
        <w:ind w:firstLine="420" w:firstLineChars="200"/>
        <w:jc w:val="both"/>
        <w:rPr>
          <w:rFonts w:hint="eastAsia" w:ascii="宋体" w:hAnsi="宋体"/>
          <w:kern w:val="0"/>
        </w:rPr>
      </w:pPr>
      <w:r>
        <w:rPr>
          <w:rFonts w:ascii="宋体" w:hAnsi="宋体"/>
          <w:kern w:val="0"/>
        </w:rPr>
        <w:t xml:space="preserve">SB/T 226  </w:t>
      </w:r>
      <w:r>
        <w:rPr>
          <w:rFonts w:hint="eastAsia" w:ascii="宋体" w:hAnsi="宋体"/>
          <w:kern w:val="0"/>
        </w:rPr>
        <w:t>食品机械通用技术条件</w:t>
      </w:r>
      <w:r>
        <w:rPr>
          <w:rFonts w:ascii="宋体" w:hAnsi="宋体"/>
          <w:kern w:val="0"/>
        </w:rPr>
        <w:t xml:space="preserve"> </w:t>
      </w:r>
      <w:r>
        <w:rPr>
          <w:rFonts w:hint="eastAsia" w:ascii="宋体" w:hAnsi="宋体"/>
          <w:kern w:val="0"/>
        </w:rPr>
        <w:t xml:space="preserve"> 焊接、铆接技术要求</w:t>
      </w:r>
    </w:p>
    <w:p w14:paraId="527FEC1B">
      <w:pPr>
        <w:widowControl/>
        <w:autoSpaceDE w:val="0"/>
        <w:autoSpaceDN w:val="0"/>
        <w:spacing w:line="240" w:lineRule="auto"/>
        <w:ind w:firstLine="420" w:firstLineChars="200"/>
        <w:jc w:val="both"/>
        <w:rPr>
          <w:rFonts w:hint="eastAsia" w:ascii="宋体" w:hAnsi="宋体"/>
          <w:kern w:val="0"/>
        </w:rPr>
      </w:pPr>
      <w:r>
        <w:rPr>
          <w:rFonts w:ascii="宋体" w:hAnsi="宋体"/>
          <w:kern w:val="0"/>
        </w:rPr>
        <w:t xml:space="preserve">SB/T 228  </w:t>
      </w:r>
      <w:r>
        <w:rPr>
          <w:rFonts w:hint="eastAsia" w:ascii="宋体" w:hAnsi="宋体"/>
          <w:kern w:val="0"/>
        </w:rPr>
        <w:t>食品机械通用技术条件</w:t>
      </w:r>
      <w:r>
        <w:rPr>
          <w:rFonts w:ascii="宋体" w:hAnsi="宋体"/>
          <w:kern w:val="0"/>
        </w:rPr>
        <w:t xml:space="preserve"> </w:t>
      </w:r>
      <w:r>
        <w:rPr>
          <w:rFonts w:hint="eastAsia" w:ascii="宋体" w:hAnsi="宋体"/>
          <w:kern w:val="0"/>
        </w:rPr>
        <w:t xml:space="preserve"> 表面涂漆</w:t>
      </w:r>
    </w:p>
    <w:p w14:paraId="5EC86AFA">
      <w:pPr>
        <w:widowControl/>
        <w:autoSpaceDE w:val="0"/>
        <w:autoSpaceDN w:val="0"/>
        <w:spacing w:line="240" w:lineRule="auto"/>
        <w:ind w:firstLine="420" w:firstLineChars="200"/>
        <w:jc w:val="both"/>
        <w:rPr>
          <w:rFonts w:hint="eastAsia" w:ascii="宋体" w:hAnsi="宋体"/>
          <w:kern w:val="0"/>
        </w:rPr>
      </w:pPr>
      <w:r>
        <w:rPr>
          <w:rFonts w:ascii="宋体" w:hAnsi="宋体"/>
          <w:kern w:val="0"/>
        </w:rPr>
        <w:t xml:space="preserve">SB/T 229  </w:t>
      </w:r>
      <w:r>
        <w:rPr>
          <w:rFonts w:hint="eastAsia" w:ascii="宋体" w:hAnsi="宋体"/>
          <w:kern w:val="0"/>
        </w:rPr>
        <w:t>食品机械通用技术条件</w:t>
      </w:r>
      <w:r>
        <w:rPr>
          <w:rFonts w:ascii="宋体" w:hAnsi="宋体"/>
          <w:kern w:val="0"/>
        </w:rPr>
        <w:t xml:space="preserve"> </w:t>
      </w:r>
      <w:r>
        <w:rPr>
          <w:rFonts w:hint="eastAsia" w:ascii="宋体" w:hAnsi="宋体"/>
          <w:kern w:val="0"/>
        </w:rPr>
        <w:t xml:space="preserve"> 产品包装技术要求</w:t>
      </w:r>
    </w:p>
    <w:p w14:paraId="6D81B6A0">
      <w:pPr>
        <w:pStyle w:val="268"/>
        <w:numPr>
          <w:ilvl w:val="1"/>
          <w:numId w:val="35"/>
        </w:numPr>
        <w:spacing w:before="240" w:after="240" w:line="240" w:lineRule="auto"/>
        <w:jc w:val="both"/>
        <w:rPr>
          <w:rFonts w:hint="eastAsia"/>
        </w:rPr>
      </w:pPr>
      <w:bookmarkStart w:id="105" w:name="_Toc196411773"/>
      <w:bookmarkStart w:id="106" w:name="_Toc27587"/>
      <w:bookmarkStart w:id="107" w:name="_Toc10023"/>
      <w:bookmarkStart w:id="108" w:name="_Toc103873480"/>
      <w:bookmarkStart w:id="109" w:name="_Toc104469565"/>
      <w:bookmarkStart w:id="110" w:name="_Toc6226"/>
      <w:bookmarkStart w:id="111" w:name="_Toc17774"/>
      <w:bookmarkStart w:id="112" w:name="_Toc30080"/>
      <w:r>
        <w:rPr>
          <w:rFonts w:hint="eastAsia"/>
        </w:rPr>
        <w:t>术语和定义</w:t>
      </w:r>
      <w:bookmarkEnd w:id="105"/>
      <w:bookmarkEnd w:id="106"/>
      <w:bookmarkEnd w:id="107"/>
      <w:bookmarkEnd w:id="108"/>
      <w:bookmarkEnd w:id="109"/>
      <w:bookmarkEnd w:id="110"/>
      <w:bookmarkEnd w:id="111"/>
      <w:bookmarkEnd w:id="112"/>
    </w:p>
    <w:bookmarkEnd w:id="96"/>
    <w:bookmarkEnd w:id="97"/>
    <w:bookmarkEnd w:id="98"/>
    <w:bookmarkEnd w:id="99"/>
    <w:bookmarkEnd w:id="100"/>
    <w:bookmarkEnd w:id="101"/>
    <w:bookmarkEnd w:id="102"/>
    <w:bookmarkEnd w:id="103"/>
    <w:bookmarkEnd w:id="104"/>
    <w:p w14:paraId="4D917EB0">
      <w:pPr>
        <w:widowControl/>
        <w:autoSpaceDE w:val="0"/>
        <w:autoSpaceDN w:val="0"/>
        <w:adjustRightInd/>
        <w:spacing w:line="240" w:lineRule="auto"/>
        <w:ind w:firstLine="420" w:firstLineChars="200"/>
        <w:jc w:val="both"/>
        <w:rPr>
          <w:rFonts w:ascii="Times New Roman" w:hAnsi="Times New Roman"/>
        </w:rPr>
      </w:pPr>
      <w:bookmarkStart w:id="113" w:name="_Toc22888883"/>
      <w:bookmarkEnd w:id="113"/>
      <w:bookmarkStart w:id="114" w:name="_Toc103873479"/>
      <w:bookmarkEnd w:id="114"/>
      <w:bookmarkStart w:id="115" w:name="_Toc45808119"/>
      <w:bookmarkEnd w:id="115"/>
      <w:bookmarkStart w:id="116" w:name="_Toc49432302"/>
      <w:bookmarkEnd w:id="116"/>
      <w:bookmarkStart w:id="117" w:name="_Toc45618140"/>
      <w:bookmarkEnd w:id="117"/>
      <w:bookmarkStart w:id="118" w:name="_Toc49171817"/>
      <w:bookmarkEnd w:id="118"/>
      <w:bookmarkStart w:id="119" w:name="_Toc26986532"/>
      <w:bookmarkEnd w:id="119"/>
      <w:bookmarkStart w:id="120" w:name="_Toc21110880"/>
      <w:bookmarkEnd w:id="120"/>
      <w:bookmarkStart w:id="121" w:name="_Toc45616729"/>
      <w:bookmarkEnd w:id="121"/>
      <w:bookmarkStart w:id="122" w:name="_Toc103784691"/>
      <w:bookmarkEnd w:id="122"/>
      <w:bookmarkStart w:id="123" w:name="_Toc103786075"/>
      <w:bookmarkEnd w:id="123"/>
      <w:r>
        <w:rPr>
          <w:rFonts w:hint="eastAsia" w:ascii="Times New Roman" w:hAnsi="Times New Roman"/>
        </w:rPr>
        <w:t>下列术语和定义适用于本文件。</w:t>
      </w:r>
    </w:p>
    <w:p w14:paraId="188223DC">
      <w:pPr>
        <w:pStyle w:val="114"/>
        <w:numPr>
          <w:ilvl w:val="2"/>
          <w:numId w:val="35"/>
        </w:numPr>
        <w:spacing w:before="120" w:after="120"/>
      </w:pPr>
      <w:bookmarkStart w:id="124" w:name="_Toc31904"/>
      <w:bookmarkEnd w:id="124"/>
      <w:bookmarkStart w:id="125" w:name="_Toc87782501"/>
      <w:bookmarkEnd w:id="125"/>
      <w:bookmarkStart w:id="126" w:name="_Toc3789"/>
      <w:bookmarkEnd w:id="126"/>
      <w:bookmarkStart w:id="127" w:name="_Toc204448555"/>
      <w:bookmarkEnd w:id="127"/>
      <w:bookmarkStart w:id="128" w:name="_Toc21274"/>
      <w:bookmarkEnd w:id="128"/>
      <w:bookmarkStart w:id="129" w:name="_Toc120107384"/>
      <w:bookmarkEnd w:id="129"/>
      <w:bookmarkStart w:id="130" w:name="_Toc8098"/>
      <w:bookmarkEnd w:id="130"/>
      <w:bookmarkStart w:id="131" w:name="_Toc5323"/>
      <w:bookmarkEnd w:id="131"/>
      <w:bookmarkStart w:id="132" w:name="_Toc7160"/>
      <w:bookmarkEnd w:id="132"/>
      <w:bookmarkStart w:id="133" w:name="_Toc12990"/>
      <w:bookmarkEnd w:id="133"/>
      <w:bookmarkStart w:id="134" w:name="_Toc76902197"/>
      <w:bookmarkEnd w:id="134"/>
      <w:bookmarkStart w:id="135" w:name="_Toc77186038"/>
      <w:bookmarkEnd w:id="135"/>
      <w:bookmarkStart w:id="136" w:name="_Toc196411774"/>
      <w:bookmarkEnd w:id="136"/>
      <w:bookmarkStart w:id="137" w:name="_Toc76532382"/>
      <w:bookmarkEnd w:id="137"/>
      <w:bookmarkStart w:id="138" w:name="_Toc196411775"/>
      <w:bookmarkEnd w:id="138"/>
      <w:bookmarkStart w:id="139" w:name="_Toc29855"/>
      <w:bookmarkEnd w:id="139"/>
      <w:bookmarkStart w:id="140" w:name="_Toc93873936"/>
      <w:bookmarkEnd w:id="140"/>
      <w:bookmarkStart w:id="141" w:name="_Toc94259928"/>
      <w:bookmarkEnd w:id="141"/>
      <w:bookmarkStart w:id="142" w:name="_Toc103786125"/>
      <w:bookmarkEnd w:id="142"/>
      <w:bookmarkStart w:id="143" w:name="_Toc103784693"/>
      <w:bookmarkEnd w:id="143"/>
      <w:bookmarkStart w:id="144" w:name="_Toc103786077"/>
      <w:bookmarkEnd w:id="144"/>
      <w:bookmarkStart w:id="145" w:name="_Toc76532515"/>
      <w:bookmarkEnd w:id="145"/>
      <w:bookmarkStart w:id="146" w:name="_Toc204068441"/>
      <w:bookmarkEnd w:id="146"/>
      <w:bookmarkStart w:id="147" w:name="_Toc109500885"/>
      <w:bookmarkEnd w:id="147"/>
      <w:bookmarkStart w:id="148" w:name="_Toc107129073"/>
      <w:bookmarkEnd w:id="148"/>
      <w:bookmarkStart w:id="149" w:name="_Toc20881"/>
      <w:bookmarkEnd w:id="149"/>
      <w:bookmarkStart w:id="150" w:name="_Toc88368337"/>
      <w:bookmarkEnd w:id="150"/>
      <w:bookmarkStart w:id="151" w:name="_Toc7538"/>
      <w:bookmarkEnd w:id="151"/>
      <w:bookmarkStart w:id="152" w:name="_Toc22745"/>
      <w:bookmarkEnd w:id="152"/>
      <w:bookmarkStart w:id="153" w:name="_Toc108883470"/>
      <w:bookmarkEnd w:id="153"/>
      <w:bookmarkStart w:id="154" w:name="_Toc85527746"/>
      <w:bookmarkEnd w:id="154"/>
      <w:bookmarkStart w:id="155" w:name="_Toc16806"/>
      <w:bookmarkEnd w:id="155"/>
      <w:bookmarkStart w:id="156" w:name="_Toc114578763"/>
      <w:bookmarkEnd w:id="156"/>
      <w:bookmarkStart w:id="157" w:name="_Toc103873481"/>
      <w:bookmarkEnd w:id="157"/>
      <w:bookmarkStart w:id="158" w:name="_Toc114578712"/>
      <w:bookmarkEnd w:id="158"/>
      <w:bookmarkStart w:id="159" w:name="_Toc17671"/>
      <w:bookmarkEnd w:id="159"/>
      <w:bookmarkStart w:id="160" w:name="OLE_LINK6"/>
      <w:bookmarkStart w:id="161" w:name="_Toc120107385"/>
      <w:bookmarkStart w:id="162" w:name="_Toc114578713"/>
      <w:bookmarkStart w:id="163" w:name="_Toc107129074"/>
      <w:bookmarkStart w:id="164" w:name="_Toc103873482"/>
      <w:bookmarkStart w:id="165" w:name="_Toc108883471"/>
      <w:bookmarkStart w:id="166" w:name="_Toc109500886"/>
      <w:bookmarkStart w:id="167" w:name="_Toc114578764"/>
    </w:p>
    <w:bookmarkEnd w:id="160"/>
    <w:p w14:paraId="7D077E16">
      <w:pPr>
        <w:pStyle w:val="114"/>
        <w:spacing w:beforeLines="0" w:afterLines="0"/>
        <w:ind w:firstLine="420" w:firstLineChars="200"/>
        <w:outlineLvl w:val="9"/>
        <w:rPr>
          <w:rFonts w:hint="eastAsia" w:hAnsi="黑体"/>
          <w:b w:val="0"/>
          <w:bCs w:val="0"/>
        </w:rPr>
      </w:pPr>
      <w:bookmarkStart w:id="168" w:name="OLE_LINK93"/>
      <w:r>
        <w:rPr>
          <w:rFonts w:hint="eastAsia" w:hAnsi="黑体"/>
        </w:rPr>
        <w:t>速冻薯条加工成套设备</w:t>
      </w:r>
      <w:bookmarkEnd w:id="161"/>
      <w:bookmarkEnd w:id="162"/>
      <w:bookmarkEnd w:id="163"/>
      <w:bookmarkEnd w:id="164"/>
      <w:bookmarkEnd w:id="165"/>
      <w:bookmarkEnd w:id="166"/>
      <w:bookmarkEnd w:id="167"/>
      <w:bookmarkEnd w:id="168"/>
      <w:bookmarkStart w:id="169" w:name="_Hlk77148234"/>
      <w:r>
        <w:rPr>
          <w:rFonts w:hint="eastAsia" w:hAnsi="黑体"/>
        </w:rPr>
        <w:t xml:space="preserve">  </w:t>
      </w:r>
      <w:r>
        <w:rPr>
          <w:rFonts w:hint="eastAsia" w:hAnsi="黑体"/>
          <w:b w:val="0"/>
          <w:bCs w:val="0"/>
        </w:rPr>
        <w:t>complete sets of quick-frozen f</w:t>
      </w:r>
      <w:r>
        <w:rPr>
          <w:rFonts w:hAnsi="黑体"/>
          <w:b w:val="0"/>
          <w:bCs w:val="0"/>
        </w:rPr>
        <w:t>rench</w:t>
      </w:r>
      <w:r>
        <w:rPr>
          <w:rFonts w:hint="eastAsia" w:hAnsi="黑体"/>
          <w:b w:val="0"/>
          <w:bCs w:val="0"/>
        </w:rPr>
        <w:t xml:space="preserve"> fries processing equipment</w:t>
      </w:r>
    </w:p>
    <w:p w14:paraId="76849986">
      <w:pPr>
        <w:widowControl/>
        <w:autoSpaceDE w:val="0"/>
        <w:autoSpaceDN w:val="0"/>
        <w:adjustRightInd/>
        <w:spacing w:line="240" w:lineRule="auto"/>
        <w:ind w:firstLine="420" w:firstLineChars="200"/>
        <w:jc w:val="both"/>
        <w:rPr>
          <w:rFonts w:hint="eastAsia" w:ascii="宋体" w:hAnsi="宋体" w:cs="宋体"/>
        </w:rPr>
      </w:pPr>
      <w:r>
        <w:rPr>
          <w:rFonts w:hint="eastAsia" w:ascii="宋体" w:hAnsi="宋体" w:cs="宋体"/>
        </w:rPr>
        <w:t>以马铃薯为原料，经过清洗、去皮、切条、漂烫、调理、烘干、油炸、速冻等工序完成速冻薯条加工的一组设备。</w:t>
      </w:r>
    </w:p>
    <w:p w14:paraId="5F027AF9">
      <w:pPr>
        <w:pStyle w:val="114"/>
        <w:numPr>
          <w:ilvl w:val="2"/>
          <w:numId w:val="35"/>
        </w:numPr>
        <w:spacing w:before="120" w:after="120"/>
      </w:pPr>
      <w:bookmarkStart w:id="170" w:name="_Toc204448556"/>
      <w:bookmarkEnd w:id="170"/>
      <w:bookmarkStart w:id="171" w:name="_Toc27552"/>
      <w:bookmarkEnd w:id="171"/>
      <w:bookmarkStart w:id="172" w:name="_Toc12806"/>
      <w:bookmarkEnd w:id="172"/>
      <w:bookmarkStart w:id="173" w:name="_Toc7315"/>
      <w:bookmarkEnd w:id="173"/>
      <w:bookmarkStart w:id="174" w:name="_Toc16878"/>
      <w:bookmarkEnd w:id="174"/>
      <w:bookmarkStart w:id="175" w:name="_Toc23491"/>
      <w:bookmarkEnd w:id="175"/>
      <w:bookmarkStart w:id="176" w:name="_Toc25617"/>
      <w:bookmarkEnd w:id="176"/>
      <w:bookmarkStart w:id="177" w:name="_Toc204068442"/>
      <w:bookmarkEnd w:id="177"/>
      <w:bookmarkStart w:id="178" w:name="_Toc32098"/>
      <w:bookmarkEnd w:id="178"/>
      <w:bookmarkStart w:id="179" w:name="_Toc539"/>
      <w:bookmarkEnd w:id="179"/>
      <w:bookmarkStart w:id="180" w:name="_Toc25147"/>
      <w:bookmarkEnd w:id="180"/>
    </w:p>
    <w:p w14:paraId="5B4B7E37">
      <w:pPr>
        <w:pStyle w:val="114"/>
        <w:spacing w:beforeLines="0" w:afterLines="0"/>
        <w:ind w:firstLine="420" w:firstLineChars="200"/>
        <w:outlineLvl w:val="9"/>
        <w:rPr>
          <w:rFonts w:hint="eastAsia" w:hAnsi="黑体"/>
          <w:b w:val="0"/>
          <w:bCs w:val="0"/>
        </w:rPr>
      </w:pPr>
      <w:r>
        <w:rPr>
          <w:rFonts w:hint="eastAsia" w:hAnsi="黑体"/>
        </w:rPr>
        <w:t xml:space="preserve">生产能力  </w:t>
      </w:r>
      <w:r>
        <w:rPr>
          <w:rFonts w:hint="eastAsia" w:hAnsi="黑体"/>
          <w:b w:val="0"/>
          <w:bCs w:val="0"/>
        </w:rPr>
        <w:t>production throughput</w:t>
      </w:r>
    </w:p>
    <w:p w14:paraId="0137222D">
      <w:pPr>
        <w:widowControl/>
        <w:autoSpaceDE w:val="0"/>
        <w:autoSpaceDN w:val="0"/>
        <w:adjustRightInd/>
        <w:spacing w:line="240" w:lineRule="auto"/>
        <w:ind w:firstLine="420" w:firstLineChars="200"/>
        <w:jc w:val="both"/>
        <w:rPr>
          <w:rFonts w:hint="eastAsia" w:ascii="宋体" w:hAnsi="宋体" w:cs="宋体"/>
        </w:rPr>
      </w:pPr>
      <w:r>
        <w:rPr>
          <w:rFonts w:hint="eastAsia" w:ascii="宋体" w:hAnsi="宋体" w:cs="宋体"/>
        </w:rPr>
        <w:t>速冻薯条加工成套设备（3.1）正常运行时，在单位时间内生产的速冻薯条成品质量。</w:t>
      </w:r>
    </w:p>
    <w:p w14:paraId="1C08BC27">
      <w:pPr>
        <w:pStyle w:val="65"/>
        <w:ind w:firstLine="360"/>
        <w:rPr>
          <w:rFonts w:ascii="Times New Roman"/>
          <w:sz w:val="18"/>
          <w:szCs w:val="18"/>
        </w:rPr>
      </w:pPr>
      <w:r>
        <w:rPr>
          <w:rFonts w:hint="eastAsia" w:ascii="黑体" w:hAnsi="黑体" w:eastAsia="黑体"/>
          <w:sz w:val="18"/>
          <w:szCs w:val="18"/>
        </w:rPr>
        <w:t>注：</w:t>
      </w:r>
      <w:r>
        <w:rPr>
          <w:rFonts w:hint="eastAsia" w:ascii="Times New Roman"/>
          <w:sz w:val="18"/>
          <w:szCs w:val="18"/>
        </w:rPr>
        <w:t>生产能力的单位为千克每小时（</w:t>
      </w:r>
      <w:r>
        <w:rPr>
          <w:rFonts w:ascii="Times New Roman"/>
          <w:sz w:val="18"/>
          <w:szCs w:val="18"/>
        </w:rPr>
        <w:t>kg/h</w:t>
      </w:r>
      <w:r>
        <w:rPr>
          <w:rFonts w:hint="eastAsia" w:ascii="Times New Roman"/>
          <w:sz w:val="18"/>
          <w:szCs w:val="18"/>
        </w:rPr>
        <w:t>）。</w:t>
      </w:r>
    </w:p>
    <w:p w14:paraId="394D6024">
      <w:pPr>
        <w:pStyle w:val="114"/>
        <w:numPr>
          <w:ilvl w:val="2"/>
          <w:numId w:val="35"/>
        </w:numPr>
        <w:spacing w:before="120" w:after="120"/>
        <w:rPr>
          <w:rFonts w:ascii="Times New Roman"/>
          <w:b/>
        </w:rPr>
      </w:pPr>
      <w:bookmarkStart w:id="181" w:name="_Toc27840"/>
      <w:bookmarkEnd w:id="181"/>
      <w:bookmarkStart w:id="182" w:name="_Toc26271"/>
      <w:bookmarkEnd w:id="182"/>
      <w:bookmarkStart w:id="183" w:name="_Toc14503"/>
      <w:bookmarkEnd w:id="183"/>
      <w:bookmarkStart w:id="184" w:name="_Toc11331"/>
      <w:bookmarkEnd w:id="184"/>
      <w:bookmarkStart w:id="185" w:name="_Toc30657"/>
      <w:bookmarkEnd w:id="185"/>
      <w:bookmarkStart w:id="186" w:name="_Toc16214"/>
      <w:bookmarkEnd w:id="186"/>
      <w:bookmarkStart w:id="187" w:name="_Toc204448557"/>
      <w:bookmarkEnd w:id="187"/>
      <w:bookmarkStart w:id="188" w:name="_Toc947"/>
      <w:bookmarkEnd w:id="188"/>
      <w:bookmarkStart w:id="189" w:name="_Toc204068443"/>
      <w:bookmarkEnd w:id="189"/>
      <w:bookmarkStart w:id="190" w:name="_Toc14100"/>
      <w:bookmarkEnd w:id="190"/>
      <w:bookmarkStart w:id="191" w:name="_Toc17911"/>
      <w:bookmarkEnd w:id="191"/>
    </w:p>
    <w:p w14:paraId="56BAB55B">
      <w:pPr>
        <w:pStyle w:val="114"/>
        <w:spacing w:beforeLines="0" w:afterLines="0"/>
        <w:ind w:firstLine="420" w:firstLineChars="200"/>
        <w:outlineLvl w:val="9"/>
        <w:rPr>
          <w:rFonts w:hint="eastAsia" w:hAnsi="黑体"/>
          <w:b w:val="0"/>
          <w:bCs w:val="0"/>
        </w:rPr>
      </w:pPr>
      <w:r>
        <w:rPr>
          <w:rFonts w:hint="eastAsia" w:hAnsi="黑体"/>
        </w:rPr>
        <w:t xml:space="preserve">生产效率  </w:t>
      </w:r>
      <w:r>
        <w:rPr>
          <w:rFonts w:hint="eastAsia" w:hAnsi="黑体"/>
          <w:b w:val="0"/>
          <w:bCs w:val="0"/>
        </w:rPr>
        <w:t>production efficiency</w:t>
      </w:r>
    </w:p>
    <w:p w14:paraId="02CF43FC">
      <w:pPr>
        <w:widowControl/>
        <w:autoSpaceDE w:val="0"/>
        <w:autoSpaceDN w:val="0"/>
        <w:adjustRightInd/>
        <w:spacing w:line="240" w:lineRule="auto"/>
        <w:ind w:firstLine="420" w:firstLineChars="200"/>
        <w:jc w:val="both"/>
      </w:pPr>
      <w:r>
        <w:rPr>
          <w:rFonts w:hint="eastAsia" w:ascii="宋体" w:hAnsi="宋体" w:cs="宋体"/>
        </w:rPr>
        <w:t>速冻薯条加工成套设备（3.1）正常运行时，</w:t>
      </w:r>
      <w:r>
        <w:rPr>
          <w:rFonts w:hint="eastAsia" w:ascii="宋体" w:hAnsi="宋体" w:cs="宋体"/>
          <w:color w:val="000000" w:themeColor="text1"/>
          <w14:textFill>
            <w14:solidFill>
              <w14:schemeClr w14:val="tx1"/>
            </w14:solidFill>
          </w14:textFill>
        </w:rPr>
        <w:t>实际生产能力与额定生产能力的百分比。</w:t>
      </w:r>
      <w:bookmarkStart w:id="192" w:name="_Toc3534"/>
      <w:bookmarkEnd w:id="192"/>
    </w:p>
    <w:p w14:paraId="07BBF645">
      <w:pPr>
        <w:pStyle w:val="114"/>
        <w:numPr>
          <w:ilvl w:val="2"/>
          <w:numId w:val="35"/>
        </w:numPr>
        <w:spacing w:before="120" w:after="120"/>
        <w:rPr>
          <w:rFonts w:hint="eastAsia" w:hAnsi="黑体" w:cs="黑体"/>
          <w:bCs/>
          <w:kern w:val="2"/>
          <w:szCs w:val="21"/>
        </w:rPr>
      </w:pPr>
      <w:bookmarkStart w:id="193" w:name="_Toc204068444"/>
      <w:bookmarkEnd w:id="193"/>
      <w:bookmarkStart w:id="194" w:name="_Toc9510"/>
      <w:bookmarkEnd w:id="194"/>
      <w:bookmarkStart w:id="195" w:name="_Toc30197"/>
      <w:bookmarkEnd w:id="195"/>
      <w:bookmarkStart w:id="196" w:name="_Toc2814"/>
      <w:bookmarkEnd w:id="196"/>
      <w:bookmarkStart w:id="197" w:name="_Toc23853"/>
      <w:bookmarkEnd w:id="197"/>
      <w:bookmarkStart w:id="198" w:name="_Toc12076"/>
      <w:bookmarkEnd w:id="198"/>
      <w:bookmarkStart w:id="199" w:name="_Toc8745"/>
      <w:bookmarkEnd w:id="199"/>
      <w:bookmarkStart w:id="200" w:name="_Toc15018"/>
      <w:bookmarkEnd w:id="200"/>
      <w:bookmarkStart w:id="201" w:name="_Toc204448558"/>
      <w:bookmarkEnd w:id="201"/>
      <w:bookmarkStart w:id="202" w:name="_Toc27380"/>
      <w:bookmarkEnd w:id="202"/>
      <w:bookmarkStart w:id="203" w:name="_Toc3243"/>
      <w:bookmarkEnd w:id="203"/>
    </w:p>
    <w:p w14:paraId="288EDE97">
      <w:pPr>
        <w:pStyle w:val="114"/>
        <w:spacing w:beforeLines="0" w:afterLines="0"/>
        <w:ind w:firstLine="420" w:firstLineChars="200"/>
        <w:outlineLvl w:val="9"/>
        <w:rPr>
          <w:rFonts w:hint="eastAsia" w:hAnsi="黑体"/>
          <w:b w:val="0"/>
          <w:bCs w:val="0"/>
        </w:rPr>
      </w:pPr>
      <w:r>
        <w:rPr>
          <w:rFonts w:hint="eastAsia" w:hAnsi="黑体"/>
        </w:rPr>
        <w:t xml:space="preserve">去皮率  </w:t>
      </w:r>
      <w:r>
        <w:rPr>
          <w:rFonts w:hint="eastAsia" w:hAnsi="黑体"/>
          <w:b w:val="0"/>
          <w:bCs w:val="0"/>
        </w:rPr>
        <w:t>peel removal rate</w:t>
      </w:r>
    </w:p>
    <w:p w14:paraId="14A30AB1">
      <w:pPr>
        <w:widowControl/>
        <w:autoSpaceDE w:val="0"/>
        <w:autoSpaceDN w:val="0"/>
        <w:adjustRightInd/>
        <w:spacing w:line="240" w:lineRule="auto"/>
        <w:ind w:firstLine="420" w:firstLineChars="200"/>
        <w:jc w:val="both"/>
        <w:rPr>
          <w:rFonts w:ascii="Times New Roman"/>
        </w:rPr>
      </w:pPr>
      <w:r>
        <w:rPr>
          <w:rFonts w:hint="eastAsia" w:ascii="宋体" w:hAnsi="宋体" w:cs="宋体"/>
        </w:rPr>
        <w:t>马铃薯原料经去皮设备处理后，马铃薯已去皮的表面积与去皮前表面积的百分比。</w:t>
      </w:r>
    </w:p>
    <w:p w14:paraId="5D6D95CB">
      <w:pPr>
        <w:pStyle w:val="114"/>
        <w:numPr>
          <w:ilvl w:val="2"/>
          <w:numId w:val="35"/>
        </w:numPr>
        <w:spacing w:before="120" w:after="120"/>
      </w:pPr>
      <w:bookmarkStart w:id="204" w:name="_Toc204068445"/>
      <w:bookmarkEnd w:id="204"/>
      <w:bookmarkStart w:id="205" w:name="_Toc204448559"/>
      <w:bookmarkEnd w:id="205"/>
      <w:bookmarkStart w:id="206" w:name="_Toc29289"/>
      <w:bookmarkEnd w:id="206"/>
      <w:bookmarkStart w:id="207" w:name="_Toc28177"/>
      <w:bookmarkEnd w:id="207"/>
      <w:bookmarkStart w:id="208" w:name="_Toc25133"/>
      <w:bookmarkEnd w:id="208"/>
      <w:bookmarkStart w:id="209" w:name="_Toc11910"/>
      <w:bookmarkEnd w:id="209"/>
      <w:bookmarkStart w:id="210" w:name="_Toc25512"/>
      <w:bookmarkEnd w:id="210"/>
      <w:bookmarkStart w:id="211" w:name="_Toc27223"/>
      <w:bookmarkEnd w:id="211"/>
      <w:bookmarkStart w:id="212" w:name="_Toc18842"/>
      <w:bookmarkEnd w:id="212"/>
      <w:bookmarkStart w:id="213" w:name="_Toc16013"/>
      <w:bookmarkEnd w:id="213"/>
      <w:bookmarkStart w:id="214" w:name="_Toc14089"/>
      <w:bookmarkEnd w:id="214"/>
    </w:p>
    <w:p w14:paraId="724CC627">
      <w:pPr>
        <w:pStyle w:val="114"/>
        <w:spacing w:beforeLines="0" w:afterLines="0"/>
        <w:ind w:firstLine="420" w:firstLineChars="200"/>
        <w:outlineLvl w:val="9"/>
        <w:rPr>
          <w:rFonts w:hint="eastAsia" w:hAnsi="黑体"/>
          <w:b w:val="0"/>
          <w:bCs w:val="0"/>
        </w:rPr>
      </w:pPr>
      <w:r>
        <w:rPr>
          <w:rFonts w:hint="eastAsia" w:hAnsi="黑体"/>
        </w:rPr>
        <w:t xml:space="preserve">去皮损失率  </w:t>
      </w:r>
      <w:r>
        <w:rPr>
          <w:rFonts w:hint="eastAsia" w:hAnsi="黑体"/>
          <w:b w:val="0"/>
          <w:bCs w:val="0"/>
        </w:rPr>
        <w:t>peel failure rate</w:t>
      </w:r>
    </w:p>
    <w:p w14:paraId="003F939E">
      <w:pPr>
        <w:widowControl/>
        <w:autoSpaceDE w:val="0"/>
        <w:autoSpaceDN w:val="0"/>
        <w:adjustRightInd/>
        <w:spacing w:line="240" w:lineRule="auto"/>
        <w:ind w:firstLine="420" w:firstLineChars="200"/>
        <w:jc w:val="both"/>
        <w:rPr>
          <w:rFonts w:hint="eastAsia" w:ascii="宋体" w:hAnsi="宋体" w:cs="宋体"/>
        </w:rPr>
      </w:pPr>
      <w:r>
        <w:rPr>
          <w:rFonts w:hint="eastAsia" w:ascii="宋体" w:hAnsi="宋体" w:cs="宋体"/>
        </w:rPr>
        <w:t>马铃薯原料经去皮设备处理后，去除的马铃薯质量与去皮前马铃薯总质量的百分比。</w:t>
      </w:r>
    </w:p>
    <w:p w14:paraId="01378202">
      <w:pPr>
        <w:pStyle w:val="114"/>
        <w:numPr>
          <w:ilvl w:val="2"/>
          <w:numId w:val="35"/>
        </w:numPr>
        <w:spacing w:before="120" w:after="120"/>
      </w:pPr>
      <w:bookmarkStart w:id="215" w:name="_Toc14085"/>
      <w:bookmarkEnd w:id="215"/>
      <w:bookmarkStart w:id="216" w:name="_Toc29590"/>
      <w:bookmarkEnd w:id="216"/>
      <w:bookmarkStart w:id="217" w:name="_Toc30103"/>
      <w:bookmarkEnd w:id="217"/>
      <w:bookmarkStart w:id="218" w:name="_Toc9944"/>
      <w:bookmarkEnd w:id="218"/>
      <w:bookmarkStart w:id="219" w:name="_Toc2831"/>
      <w:bookmarkEnd w:id="219"/>
      <w:bookmarkStart w:id="220" w:name="_Toc2026"/>
      <w:bookmarkEnd w:id="220"/>
      <w:bookmarkStart w:id="221" w:name="_Toc20507"/>
      <w:bookmarkEnd w:id="221"/>
      <w:bookmarkStart w:id="222" w:name="_Toc16311"/>
      <w:bookmarkEnd w:id="222"/>
      <w:bookmarkStart w:id="223" w:name="_Toc204448560"/>
      <w:bookmarkEnd w:id="223"/>
      <w:bookmarkStart w:id="224" w:name="_Toc204068446"/>
      <w:bookmarkEnd w:id="224"/>
      <w:bookmarkStart w:id="225" w:name="_Toc23160"/>
      <w:bookmarkEnd w:id="225"/>
      <w:bookmarkStart w:id="226" w:name="_Toc32751"/>
      <w:bookmarkEnd w:id="226"/>
    </w:p>
    <w:p w14:paraId="7E8C0E46">
      <w:pPr>
        <w:pStyle w:val="114"/>
        <w:spacing w:beforeLines="0" w:afterLines="0"/>
        <w:ind w:firstLine="420" w:firstLineChars="200"/>
        <w:outlineLvl w:val="9"/>
        <w:rPr>
          <w:rFonts w:hint="eastAsia" w:hAnsi="黑体"/>
          <w:b w:val="0"/>
          <w:bCs w:val="0"/>
        </w:rPr>
      </w:pPr>
      <w:r>
        <w:rPr>
          <w:rFonts w:hint="eastAsia" w:hAnsi="黑体"/>
        </w:rPr>
        <w:t xml:space="preserve">切条合格率  </w:t>
      </w:r>
      <w:r>
        <w:rPr>
          <w:rFonts w:hAnsi="黑体"/>
          <w:b w:val="0"/>
          <w:bCs w:val="0"/>
        </w:rPr>
        <w:t>strip</w:t>
      </w:r>
      <w:r>
        <w:rPr>
          <w:rFonts w:hint="eastAsia" w:hAnsi="黑体"/>
          <w:b w:val="0"/>
          <w:bCs w:val="0"/>
        </w:rPr>
        <w:t xml:space="preserve"> cutting qualification rate</w:t>
      </w:r>
    </w:p>
    <w:p w14:paraId="75300C50">
      <w:pPr>
        <w:widowControl/>
        <w:autoSpaceDE w:val="0"/>
        <w:autoSpaceDN w:val="0"/>
        <w:adjustRightInd/>
        <w:spacing w:line="240" w:lineRule="auto"/>
        <w:ind w:firstLine="420" w:firstLineChars="200"/>
        <w:jc w:val="both"/>
        <w:rPr>
          <w:rFonts w:hint="eastAsia" w:ascii="宋体" w:hAnsi="宋体" w:cs="宋体"/>
        </w:rPr>
      </w:pPr>
      <w:r>
        <w:rPr>
          <w:rFonts w:hint="eastAsia" w:ascii="宋体" w:hAnsi="宋体" w:cs="宋体"/>
        </w:rPr>
        <w:t>去皮后的马铃薯经过切条设备切制后的合格薯条数量与切条总数量的百分比。</w:t>
      </w:r>
    </w:p>
    <w:p w14:paraId="62913716">
      <w:pPr>
        <w:widowControl/>
        <w:autoSpaceDE w:val="0"/>
        <w:autoSpaceDN w:val="0"/>
        <w:adjustRightInd/>
        <w:spacing w:line="240" w:lineRule="auto"/>
        <w:ind w:firstLine="360" w:firstLineChars="200"/>
        <w:jc w:val="both"/>
        <w:rPr>
          <w:rFonts w:hint="eastAsia" w:ascii="宋体" w:hAnsi="宋体" w:cs="宋体"/>
          <w:sz w:val="18"/>
          <w:szCs w:val="18"/>
        </w:rPr>
      </w:pPr>
      <w:r>
        <w:rPr>
          <w:rFonts w:hint="eastAsia" w:ascii="黑体" w:hAnsi="黑体" w:eastAsia="黑体" w:cs="宋体"/>
          <w:sz w:val="18"/>
          <w:szCs w:val="18"/>
        </w:rPr>
        <w:t>注：</w:t>
      </w:r>
      <w:r>
        <w:rPr>
          <w:rFonts w:hint="eastAsia" w:ascii="宋体" w:hAnsi="宋体" w:cs="宋体"/>
          <w:sz w:val="18"/>
          <w:szCs w:val="18"/>
        </w:rPr>
        <w:t>合格薯条是指切条的截面尺寸满足公差要求，薯条长度与原料薯形一致、非断条，切面光滑、无毛刺、无裂纹等切制缺陷。</w:t>
      </w:r>
    </w:p>
    <w:p w14:paraId="2AA6E624">
      <w:pPr>
        <w:pStyle w:val="114"/>
        <w:numPr>
          <w:ilvl w:val="2"/>
          <w:numId w:val="35"/>
        </w:numPr>
        <w:spacing w:before="120" w:after="120"/>
      </w:pPr>
      <w:bookmarkStart w:id="227" w:name="_Toc26059"/>
      <w:bookmarkEnd w:id="227"/>
      <w:bookmarkStart w:id="228" w:name="_Toc11881"/>
      <w:bookmarkEnd w:id="228"/>
      <w:bookmarkStart w:id="229" w:name="_Toc32187"/>
      <w:bookmarkEnd w:id="229"/>
      <w:bookmarkStart w:id="230" w:name="_Toc204068447"/>
      <w:bookmarkEnd w:id="230"/>
      <w:bookmarkStart w:id="231" w:name="_Toc5962"/>
      <w:bookmarkEnd w:id="231"/>
      <w:bookmarkStart w:id="232" w:name="_Toc30229"/>
      <w:bookmarkEnd w:id="232"/>
      <w:bookmarkStart w:id="233" w:name="_Toc42"/>
      <w:bookmarkEnd w:id="233"/>
      <w:bookmarkStart w:id="234" w:name="_Toc15786"/>
      <w:bookmarkEnd w:id="234"/>
      <w:bookmarkStart w:id="235" w:name="_Toc7974"/>
      <w:bookmarkEnd w:id="235"/>
      <w:bookmarkStart w:id="236" w:name="_Toc204448561"/>
      <w:bookmarkEnd w:id="236"/>
      <w:bookmarkStart w:id="237" w:name="_Toc17130"/>
      <w:bookmarkEnd w:id="237"/>
    </w:p>
    <w:p w14:paraId="56F93724">
      <w:pPr>
        <w:pStyle w:val="114"/>
        <w:spacing w:beforeLines="0" w:afterLines="0"/>
        <w:ind w:firstLine="420" w:firstLineChars="200"/>
        <w:outlineLvl w:val="9"/>
        <w:rPr>
          <w:rFonts w:hint="eastAsia" w:hAnsi="黑体"/>
          <w:b w:val="0"/>
          <w:bCs w:val="0"/>
        </w:rPr>
      </w:pPr>
      <w:r>
        <w:rPr>
          <w:rFonts w:hint="eastAsia" w:hAnsi="黑体"/>
        </w:rPr>
        <w:t xml:space="preserve">瑕疵条剔除率  </w:t>
      </w:r>
      <w:r>
        <w:rPr>
          <w:rFonts w:hAnsi="黑体"/>
          <w:b w:val="0"/>
          <w:bCs w:val="0"/>
        </w:rPr>
        <w:t>qualified rate of rejected defective products</w:t>
      </w:r>
    </w:p>
    <w:p w14:paraId="5DB48807">
      <w:pPr>
        <w:widowControl/>
        <w:autoSpaceDE w:val="0"/>
        <w:autoSpaceDN w:val="0"/>
        <w:adjustRightInd/>
        <w:spacing w:line="240" w:lineRule="auto"/>
        <w:ind w:firstLine="420" w:firstLineChars="200"/>
        <w:jc w:val="both"/>
        <w:rPr>
          <w:rFonts w:hint="eastAsia" w:ascii="宋体" w:hAnsi="宋体" w:cs="宋体"/>
        </w:rPr>
      </w:pPr>
      <w:r>
        <w:rPr>
          <w:rFonts w:hint="eastAsia" w:ascii="宋体" w:hAnsi="宋体" w:cs="宋体"/>
        </w:rPr>
        <w:t>分选设备分选出的瑕疵薯条数量与分选前</w:t>
      </w:r>
      <w:bookmarkStart w:id="238" w:name="OLE_LINK3"/>
      <w:r>
        <w:rPr>
          <w:rFonts w:hint="eastAsia" w:ascii="宋体" w:hAnsi="宋体" w:cs="宋体"/>
        </w:rPr>
        <w:t>瑕疵薯条</w:t>
      </w:r>
      <w:bookmarkEnd w:id="238"/>
      <w:r>
        <w:rPr>
          <w:rFonts w:hint="eastAsia" w:ascii="宋体" w:hAnsi="宋体" w:cs="宋体"/>
        </w:rPr>
        <w:t>总数量的百分比。</w:t>
      </w:r>
    </w:p>
    <w:p w14:paraId="3D7C53C8">
      <w:pPr>
        <w:widowControl/>
        <w:autoSpaceDE w:val="0"/>
        <w:autoSpaceDN w:val="0"/>
        <w:adjustRightInd/>
        <w:spacing w:line="240" w:lineRule="auto"/>
        <w:ind w:firstLine="360" w:firstLineChars="200"/>
        <w:jc w:val="both"/>
        <w:rPr>
          <w:rFonts w:ascii="Times New Roman" w:hAnsi="Times New Roman"/>
          <w:kern w:val="0"/>
          <w:sz w:val="18"/>
          <w:szCs w:val="18"/>
        </w:rPr>
      </w:pPr>
      <w:r>
        <w:rPr>
          <w:rFonts w:hint="eastAsia" w:ascii="黑体" w:hAnsi="黑体" w:eastAsia="黑体"/>
          <w:kern w:val="0"/>
          <w:sz w:val="18"/>
          <w:szCs w:val="18"/>
        </w:rPr>
        <w:t>注：</w:t>
      </w:r>
      <w:r>
        <w:rPr>
          <w:rFonts w:hint="eastAsia" w:ascii="Times New Roman" w:hAnsi="Times New Roman"/>
          <w:kern w:val="0"/>
          <w:sz w:val="18"/>
          <w:szCs w:val="18"/>
        </w:rPr>
        <w:t>瑕疵薯条是指楔形条、薄条、长度不合格及表面有黑斑等缺陷的薯条。</w:t>
      </w:r>
    </w:p>
    <w:bookmarkEnd w:id="169"/>
    <w:p w14:paraId="2B4B03CA">
      <w:pPr>
        <w:pStyle w:val="114"/>
        <w:numPr>
          <w:ilvl w:val="2"/>
          <w:numId w:val="35"/>
        </w:numPr>
        <w:spacing w:before="120" w:after="120"/>
        <w:rPr>
          <w:rFonts w:ascii="Times New Roman"/>
          <w:b/>
          <w:kern w:val="2"/>
          <w:szCs w:val="21"/>
        </w:rPr>
      </w:pPr>
      <w:bookmarkStart w:id="239" w:name="_Toc24811"/>
      <w:bookmarkEnd w:id="239"/>
      <w:bookmarkStart w:id="240" w:name="_Toc204068448"/>
      <w:bookmarkEnd w:id="240"/>
      <w:bookmarkStart w:id="241" w:name="_Toc204448562"/>
      <w:bookmarkEnd w:id="241"/>
      <w:bookmarkStart w:id="242" w:name="_Toc32481"/>
      <w:bookmarkEnd w:id="242"/>
      <w:bookmarkStart w:id="243" w:name="_Toc23355"/>
      <w:bookmarkEnd w:id="243"/>
      <w:bookmarkStart w:id="244" w:name="_Toc25869"/>
      <w:bookmarkEnd w:id="244"/>
      <w:bookmarkStart w:id="245" w:name="_Toc13527"/>
      <w:bookmarkEnd w:id="245"/>
      <w:bookmarkStart w:id="246" w:name="_Toc24235"/>
      <w:bookmarkEnd w:id="246"/>
      <w:bookmarkStart w:id="247" w:name="_Toc196411786"/>
      <w:bookmarkEnd w:id="247"/>
      <w:bookmarkStart w:id="248" w:name="_Toc32586"/>
      <w:bookmarkEnd w:id="248"/>
      <w:bookmarkStart w:id="249" w:name="_Toc9512"/>
      <w:bookmarkEnd w:id="249"/>
      <w:bookmarkStart w:id="250" w:name="_Toc5768"/>
      <w:bookmarkEnd w:id="250"/>
      <w:bookmarkStart w:id="251" w:name="_Toc17278"/>
      <w:bookmarkEnd w:id="251"/>
      <w:bookmarkStart w:id="252" w:name="_Toc32742"/>
      <w:bookmarkEnd w:id="252"/>
      <w:bookmarkStart w:id="253" w:name="_Toc120107395"/>
    </w:p>
    <w:p w14:paraId="77671E31">
      <w:pPr>
        <w:pStyle w:val="114"/>
        <w:spacing w:beforeLines="0" w:afterLines="0"/>
        <w:ind w:firstLine="420" w:firstLineChars="200"/>
        <w:outlineLvl w:val="9"/>
        <w:rPr>
          <w:rFonts w:hint="eastAsia" w:hAnsi="黑体"/>
          <w:b w:val="0"/>
          <w:bCs w:val="0"/>
        </w:rPr>
      </w:pPr>
      <w:r>
        <w:rPr>
          <w:rFonts w:hAnsi="黑体"/>
        </w:rPr>
        <w:t xml:space="preserve">漂烫  </w:t>
      </w:r>
      <w:bookmarkStart w:id="254" w:name="OLE_LINK19"/>
      <w:r>
        <w:rPr>
          <w:rFonts w:hint="eastAsia" w:hAnsi="黑体"/>
          <w:b w:val="0"/>
          <w:bCs w:val="0"/>
        </w:rPr>
        <w:t>blanching</w:t>
      </w:r>
      <w:bookmarkEnd w:id="253"/>
      <w:bookmarkEnd w:id="254"/>
    </w:p>
    <w:p w14:paraId="19E21DFE">
      <w:pPr>
        <w:widowControl/>
        <w:autoSpaceDE w:val="0"/>
        <w:autoSpaceDN w:val="0"/>
        <w:adjustRightInd/>
        <w:spacing w:line="240" w:lineRule="auto"/>
        <w:ind w:firstLine="420" w:firstLineChars="200"/>
        <w:jc w:val="both"/>
        <w:rPr>
          <w:rFonts w:hint="eastAsia" w:ascii="宋体" w:hAnsi="宋体" w:cs="宋体"/>
        </w:rPr>
      </w:pPr>
      <w:r>
        <w:rPr>
          <w:rFonts w:hint="eastAsia" w:ascii="宋体" w:hAnsi="宋体" w:cs="宋体"/>
        </w:rPr>
        <w:t>使用热水或蒸汽对切制后薯条进行灭酶杀青、改变组织状态的处理工艺。</w:t>
      </w:r>
    </w:p>
    <w:p w14:paraId="61B9EEBF">
      <w:pPr>
        <w:pStyle w:val="114"/>
        <w:numPr>
          <w:ilvl w:val="2"/>
          <w:numId w:val="35"/>
        </w:numPr>
        <w:spacing w:before="120" w:after="120"/>
        <w:rPr>
          <w:rFonts w:ascii="Times New Roman"/>
          <w:b/>
          <w:kern w:val="2"/>
          <w:szCs w:val="21"/>
        </w:rPr>
      </w:pPr>
      <w:bookmarkStart w:id="255" w:name="_Toc7564"/>
      <w:bookmarkEnd w:id="255"/>
      <w:bookmarkStart w:id="256" w:name="_Toc6404"/>
      <w:bookmarkEnd w:id="256"/>
      <w:bookmarkStart w:id="257" w:name="_Toc6027"/>
      <w:bookmarkEnd w:id="257"/>
      <w:bookmarkStart w:id="258" w:name="_Toc11646"/>
      <w:bookmarkEnd w:id="258"/>
      <w:bookmarkStart w:id="259" w:name="_Toc10939"/>
      <w:bookmarkEnd w:id="259"/>
      <w:bookmarkStart w:id="260" w:name="_Toc204448563"/>
      <w:bookmarkEnd w:id="260"/>
      <w:bookmarkStart w:id="261" w:name="_Toc14020"/>
      <w:bookmarkEnd w:id="261"/>
      <w:bookmarkStart w:id="262" w:name="_Toc23820"/>
      <w:bookmarkEnd w:id="262"/>
      <w:bookmarkStart w:id="263" w:name="_Toc31820"/>
      <w:bookmarkEnd w:id="263"/>
      <w:bookmarkStart w:id="264" w:name="_Toc204068449"/>
      <w:bookmarkEnd w:id="264"/>
      <w:bookmarkStart w:id="265" w:name="_Toc23125"/>
      <w:bookmarkEnd w:id="265"/>
    </w:p>
    <w:p w14:paraId="12A41E3A">
      <w:pPr>
        <w:pStyle w:val="114"/>
        <w:spacing w:beforeLines="0" w:afterLines="0"/>
        <w:ind w:firstLine="420" w:firstLineChars="200"/>
        <w:outlineLvl w:val="9"/>
        <w:rPr>
          <w:rFonts w:hint="eastAsia" w:hAnsi="黑体"/>
          <w:b w:val="0"/>
          <w:bCs w:val="0"/>
        </w:rPr>
      </w:pPr>
      <w:r>
        <w:rPr>
          <w:rFonts w:hAnsi="黑体"/>
        </w:rPr>
        <w:t xml:space="preserve">调理  </w:t>
      </w:r>
      <w:r>
        <w:rPr>
          <w:rFonts w:hAnsi="黑体"/>
          <w:b w:val="0"/>
          <w:bCs w:val="0"/>
        </w:rPr>
        <w:t>conditioning</w:t>
      </w:r>
    </w:p>
    <w:p w14:paraId="03B5D786">
      <w:pPr>
        <w:widowControl/>
        <w:autoSpaceDE w:val="0"/>
        <w:autoSpaceDN w:val="0"/>
        <w:adjustRightInd/>
        <w:spacing w:line="240" w:lineRule="auto"/>
        <w:ind w:firstLine="420" w:firstLineChars="200"/>
        <w:jc w:val="both"/>
        <w:rPr>
          <w:rFonts w:hint="eastAsia" w:ascii="宋体" w:hAnsi="宋体" w:cs="宋体"/>
        </w:rPr>
      </w:pPr>
      <w:r>
        <w:rPr>
          <w:rFonts w:hint="eastAsia" w:ascii="宋体" w:hAnsi="宋体" w:cs="宋体"/>
        </w:rPr>
        <w:t>对漂烫后的薯条进行表面组织结构改良的处理工艺。</w:t>
      </w:r>
    </w:p>
    <w:p w14:paraId="46EA34B6">
      <w:pPr>
        <w:pStyle w:val="114"/>
        <w:numPr>
          <w:ilvl w:val="2"/>
          <w:numId w:val="35"/>
        </w:numPr>
        <w:spacing w:before="120" w:after="120"/>
        <w:jc w:val="left"/>
        <w:rPr>
          <w:rFonts w:ascii="Times New Roman"/>
          <w:szCs w:val="21"/>
        </w:rPr>
      </w:pPr>
      <w:bookmarkStart w:id="266" w:name="_Toc204448564"/>
      <w:bookmarkEnd w:id="266"/>
      <w:bookmarkStart w:id="267" w:name="_Toc31401"/>
      <w:bookmarkEnd w:id="267"/>
      <w:bookmarkStart w:id="268" w:name="_Toc23215"/>
      <w:bookmarkEnd w:id="268"/>
      <w:bookmarkStart w:id="269" w:name="_Toc29724"/>
      <w:bookmarkEnd w:id="269"/>
      <w:bookmarkStart w:id="270" w:name="_Toc3848"/>
      <w:bookmarkEnd w:id="270"/>
      <w:bookmarkStart w:id="271" w:name="_Toc14245"/>
      <w:bookmarkEnd w:id="271"/>
      <w:bookmarkStart w:id="272" w:name="_Toc1453"/>
      <w:bookmarkEnd w:id="272"/>
      <w:bookmarkStart w:id="273" w:name="_Toc8203"/>
      <w:bookmarkEnd w:id="273"/>
      <w:bookmarkStart w:id="274" w:name="_Toc29075"/>
      <w:bookmarkEnd w:id="274"/>
      <w:bookmarkStart w:id="275" w:name="_Toc204068450"/>
      <w:bookmarkEnd w:id="275"/>
      <w:bookmarkStart w:id="276" w:name="_Toc27983"/>
      <w:bookmarkEnd w:id="276"/>
    </w:p>
    <w:p w14:paraId="738C351C">
      <w:pPr>
        <w:pStyle w:val="114"/>
        <w:spacing w:beforeLines="0" w:afterLines="0"/>
        <w:ind w:firstLine="420" w:firstLineChars="200"/>
        <w:outlineLvl w:val="9"/>
        <w:rPr>
          <w:rFonts w:hint="eastAsia" w:hAnsi="黑体"/>
          <w:b w:val="0"/>
          <w:bCs w:val="0"/>
        </w:rPr>
      </w:pPr>
      <w:r>
        <w:rPr>
          <w:rFonts w:hint="eastAsia" w:hAnsi="黑体"/>
        </w:rPr>
        <w:t>烘</w:t>
      </w:r>
      <w:r>
        <w:rPr>
          <w:rFonts w:hAnsi="黑体"/>
        </w:rPr>
        <w:t xml:space="preserve">干  </w:t>
      </w:r>
      <w:r>
        <w:rPr>
          <w:rFonts w:hAnsi="黑体"/>
          <w:b w:val="0"/>
          <w:bCs w:val="0"/>
        </w:rPr>
        <w:t>drying</w:t>
      </w:r>
    </w:p>
    <w:p w14:paraId="24C08E56">
      <w:pPr>
        <w:widowControl/>
        <w:autoSpaceDE w:val="0"/>
        <w:autoSpaceDN w:val="0"/>
        <w:adjustRightInd/>
        <w:spacing w:line="240" w:lineRule="auto"/>
        <w:ind w:firstLine="420" w:firstLineChars="200"/>
        <w:jc w:val="both"/>
        <w:rPr>
          <w:rFonts w:ascii="Times New Roman" w:hAnsi="Times New Roman"/>
          <w:highlight w:val="yellow"/>
        </w:rPr>
      </w:pPr>
      <w:r>
        <w:rPr>
          <w:rFonts w:hint="eastAsia" w:ascii="宋体" w:hAnsi="宋体" w:cs="宋体"/>
        </w:rPr>
        <w:t>使用热风等介质去掉调理后薯条部分水分的处理工艺。</w:t>
      </w:r>
    </w:p>
    <w:p w14:paraId="4255BF0E">
      <w:pPr>
        <w:pStyle w:val="114"/>
        <w:numPr>
          <w:ilvl w:val="2"/>
          <w:numId w:val="35"/>
        </w:numPr>
        <w:spacing w:before="120" w:after="120"/>
      </w:pPr>
      <w:bookmarkStart w:id="277" w:name="_Toc120107402"/>
      <w:bookmarkEnd w:id="277"/>
      <w:bookmarkStart w:id="278" w:name="_Toc21583"/>
      <w:bookmarkEnd w:id="278"/>
      <w:bookmarkStart w:id="279" w:name="_Toc29201"/>
      <w:bookmarkEnd w:id="279"/>
      <w:bookmarkStart w:id="280" w:name="_Toc24286"/>
      <w:bookmarkEnd w:id="280"/>
      <w:bookmarkStart w:id="281" w:name="_Toc24066"/>
      <w:bookmarkEnd w:id="281"/>
      <w:bookmarkStart w:id="282" w:name="_Toc17866"/>
      <w:bookmarkEnd w:id="282"/>
      <w:bookmarkStart w:id="283" w:name="_Toc8699"/>
      <w:bookmarkEnd w:id="283"/>
      <w:bookmarkStart w:id="284" w:name="_Toc20591"/>
      <w:bookmarkEnd w:id="284"/>
      <w:bookmarkStart w:id="285" w:name="_Toc196411791"/>
      <w:bookmarkEnd w:id="285"/>
      <w:bookmarkStart w:id="286" w:name="_Toc204068451"/>
      <w:bookmarkEnd w:id="286"/>
      <w:bookmarkStart w:id="287" w:name="_Toc196411797"/>
      <w:bookmarkEnd w:id="287"/>
      <w:bookmarkStart w:id="288" w:name="_Toc21402"/>
      <w:bookmarkEnd w:id="288"/>
      <w:bookmarkStart w:id="289" w:name="_Toc6021"/>
      <w:bookmarkEnd w:id="289"/>
      <w:bookmarkStart w:id="290" w:name="_Toc204448565"/>
      <w:bookmarkEnd w:id="290"/>
      <w:bookmarkStart w:id="291" w:name="_Toc196411793"/>
      <w:bookmarkEnd w:id="291"/>
      <w:bookmarkStart w:id="292" w:name="_Toc4405"/>
      <w:bookmarkEnd w:id="292"/>
      <w:bookmarkStart w:id="293" w:name="_Toc196411792"/>
      <w:bookmarkEnd w:id="293"/>
      <w:bookmarkStart w:id="294" w:name="_Toc26362"/>
      <w:bookmarkEnd w:id="294"/>
      <w:bookmarkStart w:id="295" w:name="_Toc1608"/>
      <w:bookmarkEnd w:id="295"/>
      <w:bookmarkStart w:id="296" w:name="_Toc8546"/>
      <w:bookmarkEnd w:id="296"/>
      <w:bookmarkStart w:id="297" w:name="_Toc24573"/>
      <w:bookmarkEnd w:id="297"/>
      <w:bookmarkStart w:id="298" w:name="_Toc2619"/>
      <w:bookmarkEnd w:id="298"/>
      <w:bookmarkStart w:id="299" w:name="_Toc114578721"/>
      <w:bookmarkStart w:id="300" w:name="_Toc109500894"/>
      <w:bookmarkStart w:id="301" w:name="_Toc114578772"/>
    </w:p>
    <w:p w14:paraId="5119C9A6">
      <w:pPr>
        <w:pStyle w:val="114"/>
        <w:spacing w:beforeLines="0" w:afterLines="0"/>
        <w:ind w:firstLine="420" w:firstLineChars="200"/>
        <w:outlineLvl w:val="9"/>
        <w:rPr>
          <w:rFonts w:hint="eastAsia" w:hAnsi="黑体"/>
          <w:b w:val="0"/>
          <w:bCs w:val="0"/>
        </w:rPr>
      </w:pPr>
      <w:r>
        <w:rPr>
          <w:rFonts w:hint="eastAsia" w:hAnsi="黑体"/>
        </w:rPr>
        <w:t>产品含油率</w:t>
      </w:r>
      <w:r>
        <w:rPr>
          <w:rFonts w:hAnsi="黑体"/>
        </w:rPr>
        <w:t xml:space="preserve"> </w:t>
      </w:r>
      <w:r>
        <w:rPr>
          <w:rFonts w:hint="eastAsia" w:hAnsi="黑体"/>
        </w:rPr>
        <w:t xml:space="preserve"> </w:t>
      </w:r>
      <w:r>
        <w:rPr>
          <w:rFonts w:hAnsi="黑体"/>
          <w:b w:val="0"/>
          <w:bCs w:val="0"/>
        </w:rPr>
        <w:t>oil content of product</w:t>
      </w:r>
      <w:r>
        <w:rPr>
          <w:rFonts w:hint="eastAsia" w:hAnsi="黑体"/>
          <w:b w:val="0"/>
          <w:bCs w:val="0"/>
        </w:rPr>
        <w:t>s</w:t>
      </w:r>
    </w:p>
    <w:p w14:paraId="2EE2B5E7">
      <w:pPr>
        <w:pStyle w:val="65"/>
        <w:ind w:firstLine="420"/>
      </w:pPr>
      <w:r>
        <w:rPr>
          <w:rFonts w:hint="eastAsia" w:hAnsi="宋体" w:cs="宋体"/>
        </w:rPr>
        <w:t>烘干后的薯条经油炸、沥油后的油脂含量。</w:t>
      </w:r>
    </w:p>
    <w:p w14:paraId="52307F2B">
      <w:pPr>
        <w:pStyle w:val="114"/>
        <w:numPr>
          <w:ilvl w:val="2"/>
          <w:numId w:val="35"/>
        </w:numPr>
        <w:spacing w:before="120" w:after="120"/>
        <w:rPr>
          <w:rFonts w:hint="eastAsia" w:hAnsi="黑体"/>
          <w:b/>
          <w:bCs/>
        </w:rPr>
      </w:pPr>
      <w:bookmarkStart w:id="302" w:name="_Toc32604"/>
      <w:bookmarkEnd w:id="302"/>
      <w:bookmarkStart w:id="303" w:name="_Toc3425"/>
      <w:bookmarkEnd w:id="303"/>
      <w:bookmarkStart w:id="304" w:name="_Toc3677"/>
      <w:bookmarkEnd w:id="304"/>
      <w:bookmarkStart w:id="305" w:name="_Toc7673"/>
      <w:bookmarkEnd w:id="305"/>
      <w:bookmarkStart w:id="306" w:name="_Toc4797"/>
      <w:bookmarkEnd w:id="306"/>
      <w:bookmarkStart w:id="307" w:name="_Toc204068452"/>
      <w:bookmarkEnd w:id="307"/>
      <w:bookmarkStart w:id="308" w:name="_Toc204448566"/>
      <w:bookmarkEnd w:id="308"/>
      <w:bookmarkStart w:id="309" w:name="_Toc14474"/>
      <w:bookmarkEnd w:id="309"/>
      <w:bookmarkStart w:id="310" w:name="_Toc4820"/>
      <w:bookmarkEnd w:id="310"/>
      <w:bookmarkStart w:id="311" w:name="_Toc15321"/>
      <w:bookmarkEnd w:id="311"/>
    </w:p>
    <w:p w14:paraId="323325BF">
      <w:pPr>
        <w:pStyle w:val="114"/>
        <w:numPr>
          <w:ilvl w:val="255"/>
          <w:numId w:val="0"/>
        </w:numPr>
        <w:spacing w:beforeLines="0" w:afterLines="0"/>
        <w:ind w:firstLine="420" w:firstLineChars="200"/>
        <w:outlineLvl w:val="9"/>
        <w:rPr>
          <w:rFonts w:hint="eastAsia" w:hAnsi="黑体"/>
          <w:b w:val="0"/>
          <w:bCs w:val="0"/>
        </w:rPr>
      </w:pPr>
      <w:r>
        <w:rPr>
          <w:rFonts w:hint="eastAsia" w:hAnsi="黑体"/>
        </w:rPr>
        <w:t xml:space="preserve">产品合格率  </w:t>
      </w:r>
      <w:r>
        <w:rPr>
          <w:rFonts w:hAnsi="黑体"/>
          <w:b w:val="0"/>
          <w:bCs w:val="0"/>
        </w:rPr>
        <w:t>qualified rate of products</w:t>
      </w:r>
    </w:p>
    <w:p w14:paraId="650BBF2E">
      <w:pPr>
        <w:pStyle w:val="65"/>
        <w:ind w:firstLine="420"/>
        <w:rPr>
          <w:rFonts w:hint="eastAsia" w:hAnsi="宋体" w:cs="宋体"/>
        </w:rPr>
      </w:pPr>
      <w:r>
        <w:rPr>
          <w:rFonts w:hint="eastAsia" w:hAnsi="宋体" w:cs="宋体"/>
          <w:kern w:val="2"/>
          <w:szCs w:val="21"/>
        </w:rPr>
        <w:t>速冻薯条加工成套设备（3.1）正常</w:t>
      </w:r>
      <w:r>
        <w:rPr>
          <w:rFonts w:hint="eastAsia" w:hAnsi="宋体" w:cs="宋体"/>
        </w:rPr>
        <w:t>运行时，在原辅料符合要求的情况下，合格产品质量占总产品质量的百分比。</w:t>
      </w:r>
    </w:p>
    <w:p w14:paraId="00D415B8">
      <w:pPr>
        <w:pStyle w:val="65"/>
        <w:ind w:firstLine="360"/>
        <w:rPr>
          <w:sz w:val="18"/>
          <w:szCs w:val="18"/>
        </w:rPr>
      </w:pPr>
      <w:r>
        <w:rPr>
          <w:rFonts w:hint="eastAsia" w:ascii="黑体" w:hAnsi="黑体" w:eastAsia="黑体" w:cs="宋体"/>
          <w:sz w:val="18"/>
          <w:szCs w:val="18"/>
        </w:rPr>
        <w:t>注：</w:t>
      </w:r>
      <w:r>
        <w:rPr>
          <w:rFonts w:hint="eastAsia" w:hAnsi="宋体" w:cs="宋体"/>
          <w:sz w:val="18"/>
          <w:szCs w:val="18"/>
        </w:rPr>
        <w:t>合格产品是指含油率、截面尺寸、长度、表面质量均符合要求的速冻薯条。</w:t>
      </w:r>
    </w:p>
    <w:p w14:paraId="2A2AEBBD">
      <w:pPr>
        <w:pStyle w:val="114"/>
        <w:numPr>
          <w:ilvl w:val="2"/>
          <w:numId w:val="35"/>
        </w:numPr>
        <w:spacing w:before="120" w:after="120"/>
        <w:rPr>
          <w:rFonts w:hint="eastAsia" w:ascii="宋体" w:hAnsi="宋体" w:cs="宋体"/>
        </w:rPr>
      </w:pPr>
      <w:bookmarkStart w:id="312" w:name="_Toc204068453"/>
      <w:bookmarkEnd w:id="312"/>
      <w:bookmarkStart w:id="313" w:name="_Toc11015"/>
      <w:bookmarkEnd w:id="313"/>
      <w:bookmarkStart w:id="314" w:name="_Toc14857"/>
      <w:bookmarkEnd w:id="314"/>
      <w:bookmarkStart w:id="315" w:name="_Toc120107406"/>
      <w:bookmarkEnd w:id="315"/>
      <w:bookmarkStart w:id="316" w:name="_Toc12273"/>
      <w:bookmarkEnd w:id="316"/>
      <w:bookmarkStart w:id="317" w:name="_Toc29013"/>
      <w:bookmarkEnd w:id="317"/>
      <w:bookmarkStart w:id="318" w:name="_Toc20478"/>
      <w:bookmarkEnd w:id="318"/>
      <w:bookmarkStart w:id="319" w:name="_Toc120107404"/>
      <w:bookmarkEnd w:id="319"/>
      <w:bookmarkStart w:id="320" w:name="_Toc26323"/>
      <w:bookmarkEnd w:id="320"/>
      <w:bookmarkStart w:id="321" w:name="_Toc204448567"/>
      <w:bookmarkEnd w:id="321"/>
      <w:bookmarkStart w:id="322" w:name="_Toc6160"/>
      <w:bookmarkEnd w:id="322"/>
      <w:bookmarkStart w:id="323" w:name="_Toc196411798"/>
      <w:bookmarkEnd w:id="323"/>
      <w:bookmarkStart w:id="324" w:name="_Toc23119"/>
      <w:bookmarkEnd w:id="324"/>
      <w:bookmarkStart w:id="325" w:name="_Toc23076"/>
      <w:bookmarkEnd w:id="325"/>
      <w:bookmarkStart w:id="326" w:name="_Toc14775"/>
      <w:bookmarkEnd w:id="326"/>
      <w:bookmarkStart w:id="327" w:name="_Toc12295"/>
      <w:bookmarkEnd w:id="327"/>
    </w:p>
    <w:p w14:paraId="28BAA657">
      <w:pPr>
        <w:widowControl/>
        <w:adjustRightInd/>
        <w:spacing w:line="240" w:lineRule="auto"/>
        <w:ind w:firstLine="420" w:firstLineChars="200"/>
        <w:jc w:val="both"/>
        <w:rPr>
          <w:rFonts w:hint="eastAsia" w:ascii="黑体" w:hAnsi="黑体" w:eastAsia="黑体" w:cs="宋体"/>
          <w:b w:val="0"/>
          <w:bCs w:val="0"/>
        </w:rPr>
      </w:pPr>
      <w:r>
        <w:rPr>
          <w:rFonts w:hint="eastAsia" w:ascii="黑体" w:hAnsi="黑体" w:eastAsia="黑体"/>
        </w:rPr>
        <w:t xml:space="preserve">使用有效度 </w:t>
      </w:r>
      <w:r>
        <w:rPr>
          <w:rFonts w:ascii="黑体" w:hAnsi="黑体" w:eastAsia="黑体"/>
        </w:rPr>
        <w:t xml:space="preserve"> </w:t>
      </w:r>
      <w:r>
        <w:rPr>
          <w:rFonts w:hint="eastAsia" w:ascii="黑体" w:hAnsi="黑体" w:eastAsia="黑体"/>
          <w:b w:val="0"/>
          <w:bCs w:val="0"/>
        </w:rPr>
        <w:t>availability</w:t>
      </w:r>
    </w:p>
    <w:p w14:paraId="427F67EF">
      <w:pPr>
        <w:pStyle w:val="255"/>
        <w:numPr>
          <w:ilvl w:val="0"/>
          <w:numId w:val="0"/>
        </w:numPr>
        <w:spacing w:beforeLines="0" w:afterLines="0"/>
        <w:ind w:firstLine="420" w:firstLineChars="200"/>
        <w:jc w:val="both"/>
        <w:outlineLvl w:val="9"/>
        <w:rPr>
          <w:rFonts w:hint="eastAsia" w:ascii="宋体" w:hAnsi="宋体" w:eastAsia="宋体"/>
          <w:kern w:val="2"/>
        </w:rPr>
      </w:pPr>
      <w:r>
        <w:rPr>
          <w:rFonts w:hint="eastAsia" w:ascii="宋体" w:hAnsi="宋体" w:eastAsia="宋体"/>
          <w:kern w:val="2"/>
        </w:rPr>
        <w:t>在某个观察期</w:t>
      </w:r>
      <w:r>
        <w:rPr>
          <w:rFonts w:hint="eastAsia" w:ascii="宋体" w:hAnsi="宋体" w:eastAsia="宋体" w:cs="宋体"/>
          <w:kern w:val="2"/>
        </w:rPr>
        <w:t>内，速冻薯条加工成套设备（3.1）正常</w:t>
      </w:r>
      <w:r>
        <w:rPr>
          <w:rFonts w:hint="eastAsia" w:ascii="宋体" w:hAnsi="宋体" w:eastAsia="宋体"/>
          <w:kern w:val="2"/>
        </w:rPr>
        <w:t>运行</w:t>
      </w:r>
      <w:r>
        <w:rPr>
          <w:rFonts w:ascii="宋体" w:hAnsi="宋体" w:eastAsia="宋体"/>
          <w:kern w:val="2"/>
        </w:rPr>
        <w:t>时</w:t>
      </w:r>
      <w:r>
        <w:rPr>
          <w:rFonts w:hint="eastAsia" w:ascii="宋体" w:hAnsi="宋体" w:eastAsia="宋体"/>
          <w:kern w:val="2"/>
        </w:rPr>
        <w:t>间和正常运行时间与故障时间之和的百分比</w:t>
      </w:r>
      <w:r>
        <w:rPr>
          <w:rFonts w:ascii="宋体" w:hAnsi="宋体" w:eastAsia="宋体"/>
          <w:kern w:val="2"/>
        </w:rPr>
        <w:t>。</w:t>
      </w:r>
    </w:p>
    <w:p w14:paraId="6088AE9A">
      <w:pPr>
        <w:pStyle w:val="241"/>
        <w:rPr>
          <w:rFonts w:hint="eastAsia" w:cs="宋体"/>
        </w:rPr>
      </w:pPr>
      <w:r>
        <w:rPr>
          <w:rFonts w:hint="eastAsia"/>
        </w:rPr>
        <w:t>［来源：</w:t>
      </w:r>
      <w:bookmarkStart w:id="328" w:name="OLE_LINK4"/>
      <w:r>
        <w:rPr>
          <w:rFonts w:hint="eastAsia"/>
        </w:rPr>
        <w:t>GB/T 5667—2008</w:t>
      </w:r>
      <w:bookmarkEnd w:id="328"/>
      <w:r>
        <w:rPr>
          <w:rFonts w:hint="eastAsia"/>
        </w:rPr>
        <w:t>，2.12，有修改］</w:t>
      </w:r>
    </w:p>
    <w:bookmarkEnd w:id="299"/>
    <w:bookmarkEnd w:id="300"/>
    <w:bookmarkEnd w:id="301"/>
    <w:p w14:paraId="2B1A01AB">
      <w:pPr>
        <w:pStyle w:val="268"/>
        <w:numPr>
          <w:ilvl w:val="1"/>
          <w:numId w:val="35"/>
        </w:numPr>
        <w:spacing w:before="240" w:after="240" w:line="240" w:lineRule="auto"/>
        <w:jc w:val="both"/>
        <w:rPr>
          <w:rFonts w:hint="eastAsia"/>
        </w:rPr>
      </w:pPr>
      <w:bookmarkStart w:id="329" w:name="_Toc94259935"/>
      <w:bookmarkEnd w:id="329"/>
      <w:bookmarkStart w:id="330" w:name="_Toc76902203"/>
      <w:bookmarkEnd w:id="330"/>
      <w:bookmarkStart w:id="331" w:name="_Toc76902214"/>
      <w:bookmarkEnd w:id="331"/>
      <w:bookmarkStart w:id="332" w:name="_Toc76532398"/>
      <w:bookmarkEnd w:id="332"/>
      <w:bookmarkStart w:id="333" w:name="_Toc76532366"/>
      <w:bookmarkEnd w:id="333"/>
      <w:bookmarkStart w:id="334" w:name="_Toc107129086"/>
      <w:bookmarkEnd w:id="334"/>
      <w:bookmarkStart w:id="335" w:name="_Toc107129084"/>
      <w:bookmarkEnd w:id="335"/>
      <w:bookmarkStart w:id="336" w:name="_Toc76532527"/>
      <w:bookmarkEnd w:id="336"/>
      <w:bookmarkStart w:id="337" w:name="_Toc109500897"/>
      <w:bookmarkEnd w:id="337"/>
      <w:bookmarkStart w:id="338" w:name="_Toc76532533"/>
      <w:bookmarkEnd w:id="338"/>
      <w:bookmarkStart w:id="339" w:name="_Toc76902215"/>
      <w:bookmarkEnd w:id="339"/>
      <w:bookmarkStart w:id="340" w:name="_Toc76532484"/>
      <w:bookmarkEnd w:id="340"/>
      <w:bookmarkStart w:id="341" w:name="_Toc93873941"/>
      <w:bookmarkEnd w:id="341"/>
      <w:bookmarkStart w:id="342" w:name="_Toc76532525"/>
      <w:bookmarkEnd w:id="342"/>
      <w:bookmarkStart w:id="343" w:name="_Toc76902208"/>
      <w:bookmarkEnd w:id="343"/>
      <w:bookmarkStart w:id="344" w:name="_Toc103784702"/>
      <w:bookmarkEnd w:id="344"/>
      <w:bookmarkStart w:id="345" w:name="_Toc76902209"/>
      <w:bookmarkEnd w:id="345"/>
      <w:bookmarkStart w:id="346" w:name="_Toc76532526"/>
      <w:bookmarkEnd w:id="346"/>
      <w:bookmarkStart w:id="347" w:name="_Toc103873491"/>
      <w:bookmarkEnd w:id="347"/>
      <w:bookmarkStart w:id="348" w:name="_Toc76902210"/>
      <w:bookmarkEnd w:id="348"/>
      <w:bookmarkStart w:id="349" w:name="_Toc76532394"/>
      <w:bookmarkEnd w:id="349"/>
      <w:bookmarkStart w:id="350" w:name="_Toc77186044"/>
      <w:bookmarkEnd w:id="350"/>
      <w:bookmarkStart w:id="351" w:name="_Toc76532388"/>
      <w:bookmarkEnd w:id="351"/>
      <w:bookmarkStart w:id="352" w:name="_Toc76902213"/>
      <w:bookmarkEnd w:id="352"/>
      <w:bookmarkStart w:id="353" w:name="_Toc76532487"/>
      <w:bookmarkEnd w:id="353"/>
      <w:bookmarkStart w:id="354" w:name="_Toc108883482"/>
      <w:bookmarkEnd w:id="354"/>
      <w:bookmarkStart w:id="355" w:name="_Toc76532395"/>
      <w:bookmarkEnd w:id="355"/>
      <w:bookmarkStart w:id="356" w:name="_Toc76532474"/>
      <w:bookmarkEnd w:id="356"/>
      <w:bookmarkStart w:id="357" w:name="_Toc76532485"/>
      <w:bookmarkEnd w:id="357"/>
      <w:bookmarkStart w:id="358" w:name="_Toc76902205"/>
      <w:bookmarkEnd w:id="358"/>
      <w:bookmarkStart w:id="359" w:name="_Toc77186046"/>
      <w:bookmarkEnd w:id="359"/>
      <w:bookmarkStart w:id="360" w:name="_Toc94259937"/>
      <w:bookmarkEnd w:id="360"/>
      <w:bookmarkStart w:id="361" w:name="_Toc93873940"/>
      <w:bookmarkEnd w:id="361"/>
      <w:bookmarkStart w:id="362" w:name="_Toc76532531"/>
      <w:bookmarkEnd w:id="362"/>
      <w:bookmarkStart w:id="363" w:name="_Toc88368342"/>
      <w:bookmarkEnd w:id="363"/>
      <w:bookmarkStart w:id="364" w:name="_Toc76902178"/>
      <w:bookmarkEnd w:id="364"/>
      <w:bookmarkStart w:id="365" w:name="_Toc76532392"/>
      <w:bookmarkEnd w:id="365"/>
      <w:bookmarkStart w:id="366" w:name="_Toc76532528"/>
      <w:bookmarkEnd w:id="366"/>
      <w:bookmarkStart w:id="367" w:name="_Toc76532530"/>
      <w:bookmarkEnd w:id="367"/>
      <w:bookmarkStart w:id="368" w:name="_Toc76532521"/>
      <w:bookmarkEnd w:id="368"/>
      <w:bookmarkStart w:id="369" w:name="_Toc76532365"/>
      <w:bookmarkEnd w:id="369"/>
      <w:bookmarkStart w:id="370" w:name="_Toc76532393"/>
      <w:bookmarkEnd w:id="370"/>
      <w:bookmarkStart w:id="371" w:name="_Toc103786134"/>
      <w:bookmarkEnd w:id="371"/>
      <w:bookmarkStart w:id="372" w:name="_Toc94259933"/>
      <w:bookmarkEnd w:id="372"/>
      <w:bookmarkStart w:id="373" w:name="_Toc21173"/>
      <w:bookmarkEnd w:id="373"/>
      <w:bookmarkStart w:id="374" w:name="_Toc76532472"/>
      <w:bookmarkEnd w:id="374"/>
      <w:bookmarkStart w:id="375" w:name="_Toc76532390"/>
      <w:bookmarkEnd w:id="375"/>
      <w:bookmarkStart w:id="376" w:name="_Toc76532523"/>
      <w:bookmarkEnd w:id="376"/>
      <w:bookmarkStart w:id="377" w:name="_Toc109500895"/>
      <w:bookmarkEnd w:id="377"/>
      <w:bookmarkStart w:id="378" w:name="_Toc77186048"/>
      <w:bookmarkEnd w:id="378"/>
      <w:bookmarkStart w:id="379" w:name="_Toc94259934"/>
      <w:bookmarkEnd w:id="379"/>
      <w:bookmarkStart w:id="380" w:name="_Toc76902177"/>
      <w:bookmarkEnd w:id="380"/>
      <w:bookmarkStart w:id="381" w:name="_Toc85527754"/>
      <w:bookmarkEnd w:id="381"/>
      <w:bookmarkStart w:id="382" w:name="_Toc76532397"/>
      <w:bookmarkEnd w:id="382"/>
      <w:bookmarkStart w:id="383" w:name="_Toc85527752"/>
      <w:bookmarkEnd w:id="383"/>
      <w:bookmarkStart w:id="384" w:name="_Toc103786086"/>
      <w:bookmarkEnd w:id="384"/>
      <w:bookmarkStart w:id="385" w:name="_Toc76532400"/>
      <w:bookmarkEnd w:id="385"/>
      <w:bookmarkStart w:id="386" w:name="_Toc108883480"/>
      <w:bookmarkEnd w:id="386"/>
      <w:bookmarkStart w:id="387" w:name="_Toc94259936"/>
      <w:bookmarkEnd w:id="387"/>
      <w:bookmarkStart w:id="388" w:name="_Toc76532399"/>
      <w:bookmarkEnd w:id="388"/>
      <w:bookmarkStart w:id="389" w:name="_Toc76532532"/>
      <w:bookmarkEnd w:id="389"/>
      <w:bookmarkStart w:id="390" w:name="_Toc76902176"/>
      <w:bookmarkEnd w:id="390"/>
      <w:bookmarkStart w:id="391" w:name="_Toc76902179"/>
      <w:bookmarkEnd w:id="391"/>
      <w:bookmarkStart w:id="392" w:name="_Toc87782509"/>
      <w:bookmarkEnd w:id="392"/>
      <w:bookmarkStart w:id="393" w:name="_Toc76532473"/>
      <w:bookmarkEnd w:id="393"/>
      <w:bookmarkStart w:id="394" w:name="_Toc76902212"/>
      <w:bookmarkEnd w:id="394"/>
      <w:bookmarkStart w:id="395" w:name="_Toc76902207"/>
      <w:bookmarkEnd w:id="395"/>
      <w:bookmarkStart w:id="396" w:name="_Toc87782507"/>
      <w:bookmarkEnd w:id="396"/>
      <w:bookmarkStart w:id="397" w:name="_Toc76532471"/>
      <w:bookmarkEnd w:id="397"/>
      <w:bookmarkStart w:id="398" w:name="_Toc76532486"/>
      <w:bookmarkEnd w:id="398"/>
      <w:bookmarkStart w:id="399" w:name="_Toc94259932"/>
      <w:bookmarkEnd w:id="399"/>
      <w:bookmarkStart w:id="400" w:name="_Toc76532363"/>
      <w:bookmarkEnd w:id="400"/>
      <w:bookmarkStart w:id="401" w:name="_Toc88368341"/>
      <w:bookmarkEnd w:id="401"/>
      <w:bookmarkStart w:id="402" w:name="_Toc76532364"/>
      <w:bookmarkEnd w:id="402"/>
      <w:bookmarkStart w:id="403" w:name="_Toc196411799"/>
      <w:bookmarkStart w:id="404" w:name="_Toc21296"/>
      <w:bookmarkStart w:id="405" w:name="_Toc1431"/>
      <w:bookmarkStart w:id="406" w:name="_Toc11591"/>
      <w:bookmarkStart w:id="407" w:name="_Toc13440"/>
      <w:bookmarkStart w:id="408" w:name="_Toc4568"/>
      <w:bookmarkStart w:id="409" w:name="_Toc77186020"/>
      <w:bookmarkStart w:id="410" w:name="_Toc85527725"/>
      <w:bookmarkStart w:id="411" w:name="_Toc76902180"/>
      <w:bookmarkStart w:id="412" w:name="_Toc76532367"/>
      <w:bookmarkStart w:id="413" w:name="_Toc85527756"/>
      <w:bookmarkStart w:id="414" w:name="_Toc76532488"/>
      <w:bookmarkStart w:id="415" w:name="_Toc77186050"/>
      <w:bookmarkStart w:id="416" w:name="_Toc94259938"/>
      <w:r>
        <w:rPr>
          <w:rFonts w:hint="eastAsia"/>
        </w:rPr>
        <w:t>型号与组成</w:t>
      </w:r>
      <w:bookmarkEnd w:id="403"/>
      <w:bookmarkEnd w:id="404"/>
      <w:bookmarkEnd w:id="405"/>
      <w:bookmarkEnd w:id="406"/>
      <w:bookmarkEnd w:id="407"/>
      <w:bookmarkEnd w:id="408"/>
    </w:p>
    <w:p w14:paraId="466A2F28">
      <w:pPr>
        <w:pStyle w:val="114"/>
        <w:numPr>
          <w:ilvl w:val="2"/>
          <w:numId w:val="35"/>
        </w:numPr>
        <w:spacing w:before="120" w:after="120"/>
        <w:rPr>
          <w:rFonts w:hint="eastAsia" w:hAnsi="黑体"/>
          <w:szCs w:val="21"/>
        </w:rPr>
      </w:pPr>
      <w:bookmarkStart w:id="417" w:name="_Toc24370"/>
      <w:bookmarkStart w:id="418" w:name="_Toc12825"/>
      <w:bookmarkStart w:id="419" w:name="_Toc8660"/>
      <w:bookmarkStart w:id="420" w:name="_Toc6623"/>
      <w:bookmarkStart w:id="421" w:name="_Toc196411801"/>
      <w:bookmarkStart w:id="422" w:name="_Toc25866"/>
      <w:bookmarkStart w:id="423" w:name="_Toc103786137"/>
      <w:r>
        <w:rPr>
          <w:rFonts w:hint="eastAsia" w:hAnsi="黑体"/>
          <w:szCs w:val="21"/>
        </w:rPr>
        <w:t>型号</w:t>
      </w:r>
      <w:bookmarkEnd w:id="417"/>
      <w:bookmarkEnd w:id="418"/>
      <w:bookmarkEnd w:id="419"/>
      <w:bookmarkEnd w:id="420"/>
      <w:bookmarkEnd w:id="421"/>
      <w:bookmarkEnd w:id="422"/>
    </w:p>
    <w:p w14:paraId="2B195AC1">
      <w:pPr>
        <w:pStyle w:val="65"/>
        <w:ind w:firstLine="420"/>
      </w:pPr>
      <w:r>
        <w:rPr>
          <w:rFonts w:hint="eastAsia"/>
        </w:rPr>
        <w:t>速冻薯条加工成套设备（以下简称“成套设备”）型号由成套设备的名称代号、产品代号和规格代号三部分组成。其中，名称代号用“加工成套设备”的“成套”两汉字拼音首字母“CT”居首表示，产品代号用“速冻薯条”的“薯条”两汉字拼音首字母“ST”居第二位表示，规格代号用速冻薯条加工成套设备的生产能力（阿拉伯数字）居第三位表示。其</w:t>
      </w:r>
      <w:r>
        <w:rPr>
          <w:rFonts w:hint="eastAsia"/>
          <w:color w:val="000000"/>
        </w:rPr>
        <w:t>型号编制形式如下：</w:t>
      </w:r>
    </w:p>
    <w:p w14:paraId="7A403B23">
      <w:pPr>
        <w:adjustRightInd/>
        <w:spacing w:line="240" w:lineRule="auto"/>
        <w:jc w:val="center"/>
        <w:rPr>
          <w:rFonts w:hint="eastAsia" w:ascii="黑体" w:hAnsi="黑体" w:eastAsia="黑体" w:cs="黑体"/>
          <w:kern w:val="0"/>
          <w:szCs w:val="20"/>
        </w:rPr>
      </w:pPr>
    </w:p>
    <w:p w14:paraId="3FBAB414">
      <w:pPr>
        <w:adjustRightInd/>
        <w:spacing w:line="240" w:lineRule="auto"/>
        <w:jc w:val="center"/>
        <w:rPr>
          <w:rFonts w:hint="eastAsia" w:ascii="黑体" w:hAnsi="黑体" w:eastAsia="黑体" w:cs="黑体"/>
          <w:kern w:val="0"/>
          <w:szCs w:val="20"/>
        </w:rPr>
      </w:pPr>
      <w:r>
        <w:rPr>
          <w:rFonts w:cs="宋体"/>
          <w:bCs/>
        </w:rPr>
        <mc:AlternateContent>
          <mc:Choice Requires="wpg">
            <w:drawing>
              <wp:inline distT="0" distB="0" distL="114300" distR="114300">
                <wp:extent cx="2985770" cy="1636395"/>
                <wp:effectExtent l="0" t="0" r="0" b="0"/>
                <wp:docPr id="1" name="组合 1"/>
                <wp:cNvGraphicFramePr/>
                <a:graphic xmlns:a="http://schemas.openxmlformats.org/drawingml/2006/main">
                  <a:graphicData uri="http://schemas.microsoft.com/office/word/2010/wordprocessingGroup">
                    <wpg:wgp>
                      <wpg:cNvGrpSpPr/>
                      <wpg:grpSpPr>
                        <a:xfrm>
                          <a:off x="0" y="0"/>
                          <a:ext cx="2985770" cy="1636395"/>
                          <a:chOff x="5567" y="0"/>
                          <a:chExt cx="29062" cy="15119"/>
                        </a:xfrm>
                        <a:effectLst/>
                      </wpg:grpSpPr>
                      <wps:wsp>
                        <wps:cNvPr id="2" name="文本框 90"/>
                        <wps:cNvSpPr txBox="1"/>
                        <wps:spPr>
                          <a:xfrm>
                            <a:off x="21818" y="12131"/>
                            <a:ext cx="12766" cy="2988"/>
                          </a:xfrm>
                          <a:prstGeom prst="rect">
                            <a:avLst/>
                          </a:prstGeom>
                          <a:solidFill>
                            <a:srgbClr val="FFFFFF"/>
                          </a:solidFill>
                          <a:ln w="6350">
                            <a:noFill/>
                          </a:ln>
                          <a:effectLst/>
                        </wps:spPr>
                        <wps:txbx>
                          <w:txbxContent>
                            <w:p w14:paraId="10E79095">
                              <w:pPr>
                                <w:spacing w:line="240" w:lineRule="auto"/>
                              </w:pPr>
                              <w:r>
                                <w:rPr>
                                  <w:rFonts w:hint="eastAsia" w:hAnsi="宋体"/>
                                </w:rPr>
                                <w:t>名称代号</w:t>
                              </w:r>
                            </w:p>
                            <w:p w14:paraId="3AB5585D">
                              <w:pPr>
                                <w:spacing w:line="240" w:lineRule="auto"/>
                              </w:pPr>
                            </w:p>
                          </w:txbxContent>
                        </wps:txbx>
                        <wps:bodyPr upright="1"/>
                      </wps:wsp>
                      <wpg:grpSp>
                        <wpg:cNvPr id="3" name="组合 92"/>
                        <wpg:cNvGrpSpPr/>
                        <wpg:grpSpPr>
                          <a:xfrm>
                            <a:off x="5567" y="0"/>
                            <a:ext cx="29062" cy="13409"/>
                            <a:chOff x="5567" y="0"/>
                            <a:chExt cx="29062" cy="13409"/>
                          </a:xfrm>
                          <a:effectLst/>
                        </wpg:grpSpPr>
                        <wpg:grpSp>
                          <wpg:cNvPr id="4" name="组合 87"/>
                          <wpg:cNvGrpSpPr/>
                          <wpg:grpSpPr>
                            <a:xfrm>
                              <a:off x="5567" y="0"/>
                              <a:ext cx="15950" cy="13409"/>
                              <a:chOff x="5567" y="0"/>
                              <a:chExt cx="15950" cy="13409"/>
                            </a:xfrm>
                            <a:effectLst/>
                          </wpg:grpSpPr>
                          <wps:wsp>
                            <wps:cNvPr id="5" name="直接连接符 31"/>
                            <wps:cNvCnPr/>
                            <wps:spPr>
                              <a:xfrm>
                                <a:off x="6699" y="13399"/>
                                <a:ext cx="14802" cy="0"/>
                              </a:xfrm>
                              <a:prstGeom prst="line">
                                <a:avLst/>
                              </a:prstGeom>
                              <a:ln w="9525" cap="flat" cmpd="sng">
                                <a:solidFill>
                                  <a:srgbClr val="000000"/>
                                </a:solidFill>
                                <a:prstDash val="solid"/>
                                <a:headEnd type="none" w="med" len="med"/>
                                <a:tailEnd type="none" w="med" len="med"/>
                              </a:ln>
                              <a:effectLst/>
                            </wps:spPr>
                            <wps:bodyPr/>
                          </wps:wsp>
                          <wpg:grpSp>
                            <wpg:cNvPr id="12" name="组合 86"/>
                            <wpg:cNvGrpSpPr/>
                            <wpg:grpSpPr>
                              <a:xfrm>
                                <a:off x="5567" y="0"/>
                                <a:ext cx="15950" cy="13409"/>
                                <a:chOff x="5567" y="0"/>
                                <a:chExt cx="15950" cy="13409"/>
                              </a:xfrm>
                              <a:effectLst/>
                            </wpg:grpSpPr>
                            <wps:wsp>
                              <wps:cNvPr id="17" name="直接连接符 64"/>
                              <wps:cNvCnPr/>
                              <wps:spPr>
                                <a:xfrm>
                                  <a:off x="10411" y="10909"/>
                                  <a:ext cx="11106" cy="0"/>
                                </a:xfrm>
                                <a:prstGeom prst="line">
                                  <a:avLst/>
                                </a:prstGeom>
                                <a:ln w="9525" cap="flat" cmpd="sng">
                                  <a:solidFill>
                                    <a:srgbClr val="000000"/>
                                  </a:solidFill>
                                  <a:prstDash val="solid"/>
                                  <a:headEnd type="none" w="med" len="med"/>
                                  <a:tailEnd type="none" w="med" len="med"/>
                                </a:ln>
                                <a:effectLst/>
                              </wps:spPr>
                              <wps:bodyPr/>
                            </wps:wsp>
                            <wps:wsp>
                              <wps:cNvPr id="18" name="直接连接符 65"/>
                              <wps:cNvCnPr/>
                              <wps:spPr>
                                <a:xfrm>
                                  <a:off x="14259" y="8329"/>
                                  <a:ext cx="7255" cy="5"/>
                                </a:xfrm>
                                <a:prstGeom prst="line">
                                  <a:avLst/>
                                </a:prstGeom>
                                <a:ln w="9525" cap="flat" cmpd="sng">
                                  <a:solidFill>
                                    <a:srgbClr val="000000"/>
                                  </a:solidFill>
                                  <a:prstDash val="solid"/>
                                  <a:headEnd type="none" w="med" len="med"/>
                                  <a:tailEnd type="none" w="med" len="med"/>
                                </a:ln>
                                <a:effectLst/>
                              </wps:spPr>
                              <wps:bodyPr/>
                            </wps:wsp>
                            <wpg:grpSp>
                              <wpg:cNvPr id="19" name="组合 84"/>
                              <wpg:cNvGrpSpPr/>
                              <wpg:grpSpPr>
                                <a:xfrm>
                                  <a:off x="5567" y="0"/>
                                  <a:ext cx="10151" cy="13409"/>
                                  <a:chOff x="5567" y="0"/>
                                  <a:chExt cx="10151" cy="13409"/>
                                </a:xfrm>
                                <a:effectLst/>
                              </wpg:grpSpPr>
                              <wpg:grpSp>
                                <wpg:cNvPr id="20" name="组合 83"/>
                                <wpg:cNvGrpSpPr/>
                                <wpg:grpSpPr>
                                  <a:xfrm>
                                    <a:off x="6699" y="2761"/>
                                    <a:ext cx="7561" cy="10648"/>
                                    <a:chOff x="4390" y="0"/>
                                    <a:chExt cx="7560" cy="10648"/>
                                  </a:xfrm>
                                  <a:effectLst/>
                                </wpg:grpSpPr>
                                <wps:wsp>
                                  <wps:cNvPr id="21" name="直接连接符 78"/>
                                  <wps:cNvCnPr/>
                                  <wps:spPr>
                                    <a:xfrm>
                                      <a:off x="11950" y="0"/>
                                      <a:ext cx="0" cy="5562"/>
                                    </a:xfrm>
                                    <a:prstGeom prst="line">
                                      <a:avLst/>
                                    </a:prstGeom>
                                    <a:ln w="9525" cap="flat" cmpd="sng">
                                      <a:solidFill>
                                        <a:srgbClr val="000000"/>
                                      </a:solidFill>
                                      <a:prstDash val="solid"/>
                                      <a:headEnd type="none" w="med" len="med"/>
                                      <a:tailEnd type="none" w="med" len="med"/>
                                    </a:ln>
                                    <a:effectLst/>
                                  </wps:spPr>
                                  <wps:bodyPr/>
                                </wps:wsp>
                                <wps:wsp>
                                  <wps:cNvPr id="22" name="直接连接符 79"/>
                                  <wps:cNvCnPr/>
                                  <wps:spPr>
                                    <a:xfrm>
                                      <a:off x="8057" y="0"/>
                                      <a:ext cx="0" cy="8159"/>
                                    </a:xfrm>
                                    <a:prstGeom prst="line">
                                      <a:avLst/>
                                    </a:prstGeom>
                                    <a:ln w="9525" cap="flat" cmpd="sng">
                                      <a:solidFill>
                                        <a:srgbClr val="000000"/>
                                      </a:solidFill>
                                      <a:prstDash val="solid"/>
                                      <a:headEnd type="none" w="med" len="med"/>
                                      <a:tailEnd type="none" w="med" len="med"/>
                                    </a:ln>
                                    <a:effectLst/>
                                  </wps:spPr>
                                  <wps:bodyPr/>
                                </wps:wsp>
                                <wps:wsp>
                                  <wps:cNvPr id="23" name="直接连接符 80"/>
                                  <wps:cNvCnPr/>
                                  <wps:spPr>
                                    <a:xfrm>
                                      <a:off x="4390" y="0"/>
                                      <a:ext cx="0" cy="10648"/>
                                    </a:xfrm>
                                    <a:prstGeom prst="line">
                                      <a:avLst/>
                                    </a:prstGeom>
                                    <a:ln w="9525" cap="flat" cmpd="sng">
                                      <a:solidFill>
                                        <a:srgbClr val="000000"/>
                                      </a:solidFill>
                                      <a:prstDash val="solid"/>
                                      <a:headEnd type="none" w="med" len="med"/>
                                      <a:tailEnd type="none" w="med" len="med"/>
                                    </a:ln>
                                    <a:effectLst/>
                                  </wps:spPr>
                                  <wps:bodyPr/>
                                </wps:wsp>
                              </wpg:grpSp>
                              <wps:wsp>
                                <wps:cNvPr id="24" name="直接连接符 68"/>
                                <wps:cNvCnPr/>
                                <wps:spPr>
                                  <a:xfrm>
                                    <a:off x="5567" y="2716"/>
                                    <a:ext cx="2464" cy="0"/>
                                  </a:xfrm>
                                  <a:prstGeom prst="line">
                                    <a:avLst/>
                                  </a:prstGeom>
                                  <a:ln w="9525" cap="flat" cmpd="sng">
                                    <a:solidFill>
                                      <a:srgbClr val="000000"/>
                                    </a:solidFill>
                                    <a:prstDash val="solid"/>
                                    <a:headEnd type="none" w="med" len="med"/>
                                    <a:tailEnd type="none" w="med" len="med"/>
                                  </a:ln>
                                  <a:effectLst/>
                                </wps:spPr>
                                <wps:bodyPr/>
                              </wps:wsp>
                              <wps:wsp>
                                <wps:cNvPr id="25" name="直接连接符 69"/>
                                <wps:cNvCnPr/>
                                <wps:spPr>
                                  <a:xfrm>
                                    <a:off x="9234" y="2716"/>
                                    <a:ext cx="2464" cy="0"/>
                                  </a:xfrm>
                                  <a:prstGeom prst="line">
                                    <a:avLst/>
                                  </a:prstGeom>
                                  <a:ln w="9525" cap="flat" cmpd="sng">
                                    <a:solidFill>
                                      <a:srgbClr val="000000"/>
                                    </a:solidFill>
                                    <a:prstDash val="solid"/>
                                    <a:headEnd type="none" w="med" len="med"/>
                                    <a:tailEnd type="none" w="med" len="med"/>
                                  </a:ln>
                                  <a:effectLst/>
                                </wps:spPr>
                                <wps:bodyPr/>
                              </wps:wsp>
                              <wpg:grpSp>
                                <wpg:cNvPr id="26" name="组合 82"/>
                                <wpg:cNvGrpSpPr/>
                                <wpg:grpSpPr>
                                  <a:xfrm>
                                    <a:off x="5703" y="0"/>
                                    <a:ext cx="10015" cy="1981"/>
                                    <a:chOff x="5703" y="0"/>
                                    <a:chExt cx="10015" cy="1981"/>
                                  </a:xfrm>
                                  <a:effectLst/>
                                </wpg:grpSpPr>
                                <wps:wsp>
                                  <wps:cNvPr id="27" name="矩形 66"/>
                                  <wps:cNvSpPr/>
                                  <wps:spPr>
                                    <a:xfrm>
                                      <a:off x="9234" y="0"/>
                                      <a:ext cx="2286" cy="1981"/>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28" name="矩形 71"/>
                                  <wps:cNvSpPr/>
                                  <wps:spPr>
                                    <a:xfrm>
                                      <a:off x="5703" y="0"/>
                                      <a:ext cx="2286" cy="1981"/>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s:wsp>
                                  <wps:cNvPr id="29" name="矩形 72"/>
                                  <wps:cNvSpPr/>
                                  <wps:spPr>
                                    <a:xfrm>
                                      <a:off x="12765" y="90"/>
                                      <a:ext cx="2953" cy="1886"/>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wpg:grpSp>
                              <wps:wsp>
                                <wps:cNvPr id="30" name="直接连接符 77"/>
                                <wps:cNvCnPr/>
                                <wps:spPr>
                                  <a:xfrm>
                                    <a:off x="12855" y="2716"/>
                                    <a:ext cx="2763" cy="45"/>
                                  </a:xfrm>
                                  <a:prstGeom prst="line">
                                    <a:avLst/>
                                  </a:prstGeom>
                                  <a:ln w="9525" cap="flat" cmpd="sng">
                                    <a:solidFill>
                                      <a:srgbClr val="000000"/>
                                    </a:solidFill>
                                    <a:prstDash val="solid"/>
                                    <a:headEnd type="none" w="med" len="med"/>
                                    <a:tailEnd type="none" w="med" len="med"/>
                                  </a:ln>
                                  <a:effectLst/>
                                </wps:spPr>
                                <wps:bodyPr/>
                              </wps:wsp>
                            </wpg:grpSp>
                          </wpg:grpSp>
                        </wpg:grpSp>
                        <wps:wsp>
                          <wps:cNvPr id="31" name="文本框 85"/>
                          <wps:cNvSpPr txBox="1"/>
                          <wps:spPr>
                            <a:xfrm>
                              <a:off x="21864" y="6744"/>
                              <a:ext cx="12765" cy="3214"/>
                            </a:xfrm>
                            <a:prstGeom prst="rect">
                              <a:avLst/>
                            </a:prstGeom>
                            <a:solidFill>
                              <a:srgbClr val="FFFFFF"/>
                            </a:solidFill>
                            <a:ln w="6350">
                              <a:noFill/>
                            </a:ln>
                            <a:effectLst/>
                          </wps:spPr>
                          <wps:txbx>
                            <w:txbxContent>
                              <w:p w14:paraId="43571B75">
                                <w:pPr>
                                  <w:spacing w:line="240" w:lineRule="auto"/>
                                </w:pPr>
                                <w:r>
                                  <w:rPr>
                                    <w:rFonts w:hint="eastAsia" w:hAnsi="宋体"/>
                                    <w:color w:val="000000"/>
                                  </w:rPr>
                                  <w:t>规格代号</w:t>
                                </w:r>
                              </w:p>
                            </w:txbxContent>
                          </wps:txbx>
                          <wps:bodyPr upright="1"/>
                        </wps:wsp>
                        <wps:wsp>
                          <wps:cNvPr id="32" name="文本框 89"/>
                          <wps:cNvSpPr txBox="1"/>
                          <wps:spPr>
                            <a:xfrm>
                              <a:off x="21864" y="9415"/>
                              <a:ext cx="12765" cy="2716"/>
                            </a:xfrm>
                            <a:prstGeom prst="rect">
                              <a:avLst/>
                            </a:prstGeom>
                            <a:noFill/>
                            <a:ln w="6350">
                              <a:noFill/>
                            </a:ln>
                            <a:effectLst/>
                          </wps:spPr>
                          <wps:txbx>
                            <w:txbxContent>
                              <w:p w14:paraId="077F92AE">
                                <w:pPr>
                                  <w:spacing w:line="240" w:lineRule="auto"/>
                                </w:pPr>
                                <w:r>
                                  <w:rPr>
                                    <w:rFonts w:hint="eastAsia" w:hAnsi="宋体"/>
                                  </w:rPr>
                                  <w:t>产品</w:t>
                                </w:r>
                                <w:r>
                                  <w:rPr>
                                    <w:rFonts w:hint="eastAsia" w:hAnsi="宋体"/>
                                    <w:color w:val="000000"/>
                                  </w:rPr>
                                  <w:t>代号</w:t>
                                </w:r>
                              </w:p>
                            </w:txbxContent>
                          </wps:txbx>
                          <wps:bodyPr upright="1"/>
                        </wps:wsp>
                      </wpg:grpSp>
                    </wpg:wgp>
                  </a:graphicData>
                </a:graphic>
              </wp:inline>
            </w:drawing>
          </mc:Choice>
          <mc:Fallback>
            <w:pict>
              <v:group id="_x0000_s1026" o:spid="_x0000_s1026" o:spt="203" style="height:128.85pt;width:235.1pt;" coordorigin="5567,0" coordsize="29062,15119" o:gfxdata="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">
                <o:lock v:ext="edit" aspectratio="f"/>
                <v:shape id="文本框 90" o:spid="_x0000_s1026" o:spt="202" type="#_x0000_t202" style="position:absolute;left:21818;top:12131;height:2988;width:12766;" fillcolor="#FFFFFF" filled="t" stroked="f" coordsize="21600,21600" o:gfxdata="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eZviLUAAADa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14:paraId="10E79095">
                        <w:pPr>
                          <w:spacing w:line="240" w:lineRule="auto"/>
                        </w:pPr>
                        <w:r>
                          <w:rPr>
                            <w:rFonts w:hint="eastAsia" w:hAnsi="宋体"/>
                          </w:rPr>
                          <w:t>名称代号</w:t>
                        </w:r>
                      </w:p>
                      <w:p w14:paraId="3AB5585D">
                        <w:pPr>
                          <w:spacing w:line="240" w:lineRule="auto"/>
                        </w:pPr>
                      </w:p>
                    </w:txbxContent>
                  </v:textbox>
                </v:shape>
                <v:group id="组合 92" o:spid="_x0000_s1026" o:spt="203" style="position:absolute;left:5567;top:0;height:13409;width:29062;" coordorigin="5567,0" coordsize="29062,13409"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group id="组合 87" o:spid="_x0000_s1026" o:spt="203" style="position:absolute;left:5567;top:0;height:13409;width:15950;" coordorigin="5567,0" coordsize="15950,13409"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line id="直接连接符 31" o:spid="_x0000_s1026" o:spt="20" style="position:absolute;left:6699;top:13399;height:0;width:14802;"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id="组合 86" o:spid="_x0000_s1026" o:spt="203" style="position:absolute;left:5567;top:0;height:13409;width:15950;" coordorigin="5567,0" coordsize="15950,13409"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line id="直接连接符 64" o:spid="_x0000_s1026" o:spt="20" style="position:absolute;left:10411;top:10909;height:0;width:11106;" filled="f" stroked="t" coordsize="21600,21600" o:gfxdata="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VSN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65" o:spid="_x0000_s1026" o:spt="20" style="position:absolute;left:14259;top:8329;height:5;width:7255;" filled="f" stroked="t" coordsize="21600,21600" o:gfxdata="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rcr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id="组合 84" o:spid="_x0000_s1026" o:spt="203" style="position:absolute;left:5567;top:0;height:13409;width:10151;" coordorigin="5567,0" coordsize="10151,13409"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group id="组合 83" o:spid="_x0000_s1026" o:spt="203" style="position:absolute;left:6699;top:2761;height:10648;width:7561;" coordorigin="4390,0" coordsize="7560,10648"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line id="直接连接符 78" o:spid="_x0000_s1026" o:spt="20" style="position:absolute;left:11950;top:0;height:5562;width:0;" filled="f" stroked="t" coordsize="21600,21600" o:gfxdata="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cv46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79" o:spid="_x0000_s1026" o:spt="20" style="position:absolute;left:8057;top:0;height:8159;width:0;"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80" o:spid="_x0000_s1026" o:spt="20" style="position:absolute;left:4390;top:0;height:10648;width:0;"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line id="直接连接符 68" o:spid="_x0000_s1026" o:spt="20" style="position:absolute;left:5567;top:2716;height:0;width:2464;" filled="f" stroked="t" coordsize="21600,21600" o:gfxdata="UEsDBAoAAAAAAIdO4kAAAAAAAAAAAAAAAAAEAAAAZHJzL1BLAwQUAAAACACHTuJAlmscFr0AAADb&#10;AAAADwAAAGRycy9kb3ducmV2LnhtbEWPzYvCMBTE7wv+D+EJexFN7C4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xw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69" o:spid="_x0000_s1026" o:spt="20" style="position:absolute;left:9234;top:2716;height:0;width:2464;" filled="f" stroked="t" coordsize="21600,21600" o:gfxdata="UEsDBAoAAAAAAIdO4kAAAAAAAAAAAAAAAAAEAAAAZHJzL1BLAwQUAAAACACHTuJA+Se5jb0AAADb&#10;AAAADwAAAGRycy9kb3ducmV2LnhtbEWPzYvCMBTE7wv+D+EJexFN7LI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7m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id="组合 82" o:spid="_x0000_s1026" o:spt="203" style="position:absolute;left:5703;top:0;height:1981;width:10015;" coordorigin="5703,0" coordsize="10015,1981"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rect id="矩形 66" o:spid="_x0000_s1026" o:spt="1" style="position:absolute;left:9234;top:0;height:1981;width:2286;" fillcolor="#FFFFFF" filled="t" stroked="t" coordsize="21600,21600" o:gfxdata="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UxY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矩形 71" o:spid="_x0000_s1026" o:spt="1" style="position:absolute;left:5703;top:0;height:1981;width:2286;" fillcolor="#FFFFFF" filled="t" stroked="t" coordsize="21600,21600" o:gfxdata="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htgq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rect>
                          <v:rect id="矩形 72" o:spid="_x0000_s1026" o:spt="1" style="position:absolute;left:12765;top:90;height:1886;width:2953;" fillcolor="#FFFFFF" filled="t" stroked="t" coordsize="21600,21600" o:gfxdata="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Kfb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rect>
                        </v:group>
                        <v:line id="直接连接符 77" o:spid="_x0000_s1026" o:spt="20" style="position:absolute;left:12855;top:2716;height:45;width:2763;" filled="f" stroked="t"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v:group>
                  </v:group>
                  <v:shape id="文本框 85" o:spid="_x0000_s1026" o:spt="202" type="#_x0000_t202" style="position:absolute;left:21864;top:6744;height:3214;width:12765;" fillcolor="#FFFFFF" filled="t" stroked="f" coordsize="21600,21600" o:gfxdata="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0lTTbgAAADbAAAA&#10;DwAAAAAAAAABACAAAAAiAAAAZHJzL2Rvd25yZXYueG1sUEsBAhQAFAAAAAgAh07iQDMvBZ47AAAA&#10;OQAAABAAAAAAAAAAAQAgAAAABwEAAGRycy9zaGFwZXhtbC54bWxQSwUGAAAAAAYABgBbAQAAsQMA&#10;AAAA&#10;">
                    <v:fill on="t" focussize="0,0"/>
                    <v:stroke on="f" weight="0.5pt"/>
                    <v:imagedata o:title=""/>
                    <o:lock v:ext="edit" aspectratio="f"/>
                    <v:textbox>
                      <w:txbxContent>
                        <w:p w14:paraId="43571B75">
                          <w:pPr>
                            <w:spacing w:line="240" w:lineRule="auto"/>
                          </w:pPr>
                          <w:r>
                            <w:rPr>
                              <w:rFonts w:hint="eastAsia" w:hAnsi="宋体"/>
                              <w:color w:val="000000"/>
                            </w:rPr>
                            <w:t>规格代号</w:t>
                          </w:r>
                        </w:p>
                      </w:txbxContent>
                    </v:textbox>
                  </v:shape>
                  <v:shape id="文本框 89" o:spid="_x0000_s1026" o:spt="202" type="#_x0000_t202" style="position:absolute;left:21864;top:9415;height:2716;width:12765;" filled="f" stroked="f" coordsize="21600,21600" o:gfxdata="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8uD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077F92AE">
                          <w:pPr>
                            <w:spacing w:line="240" w:lineRule="auto"/>
                          </w:pPr>
                          <w:r>
                            <w:rPr>
                              <w:rFonts w:hint="eastAsia" w:hAnsi="宋体"/>
                            </w:rPr>
                            <w:t>产品</w:t>
                          </w:r>
                          <w:r>
                            <w:rPr>
                              <w:rFonts w:hint="eastAsia" w:hAnsi="宋体"/>
                              <w:color w:val="000000"/>
                            </w:rPr>
                            <w:t>代号</w:t>
                          </w:r>
                        </w:p>
                      </w:txbxContent>
                    </v:textbox>
                  </v:shape>
                </v:group>
                <w10:wrap type="none"/>
                <w10:anchorlock/>
              </v:group>
            </w:pict>
          </mc:Fallback>
        </mc:AlternateContent>
      </w:r>
    </w:p>
    <w:p w14:paraId="282287AE">
      <w:pPr>
        <w:pStyle w:val="13"/>
        <w:adjustRightInd/>
        <w:spacing w:line="240" w:lineRule="auto"/>
        <w:jc w:val="center"/>
        <w:rPr>
          <w:rFonts w:hint="eastAsia" w:ascii="黑体" w:hAnsi="黑体" w:cs="黑体"/>
          <w:kern w:val="0"/>
          <w:sz w:val="21"/>
          <w:szCs w:val="21"/>
        </w:rPr>
      </w:pPr>
      <w:r>
        <w:rPr>
          <w:rFonts w:hint="eastAsia" w:ascii="黑体" w:hAnsi="黑体" w:cs="黑体"/>
          <w:sz w:val="21"/>
          <w:szCs w:val="21"/>
        </w:rPr>
        <w:t xml:space="preserve">图 </w:t>
      </w:r>
      <w:r>
        <w:rPr>
          <w:rFonts w:hint="eastAsia" w:ascii="黑体" w:hAnsi="黑体" w:cs="黑体"/>
          <w:sz w:val="21"/>
          <w:szCs w:val="21"/>
        </w:rPr>
        <w:fldChar w:fldCharType="begin"/>
      </w:r>
      <w:r>
        <w:rPr>
          <w:rFonts w:hint="eastAsia" w:ascii="黑体" w:hAnsi="黑体" w:cs="黑体"/>
          <w:sz w:val="21"/>
          <w:szCs w:val="21"/>
        </w:rPr>
        <w:instrText xml:space="preserve"> SEQ 图 \* ARABIC </w:instrText>
      </w:r>
      <w:r>
        <w:rPr>
          <w:rFonts w:hint="eastAsia" w:ascii="黑体" w:hAnsi="黑体" w:cs="黑体"/>
          <w:sz w:val="21"/>
          <w:szCs w:val="21"/>
        </w:rPr>
        <w:fldChar w:fldCharType="separate"/>
      </w:r>
      <w:r>
        <w:rPr>
          <w:rFonts w:hint="eastAsia" w:ascii="黑体" w:hAnsi="黑体" w:cs="黑体"/>
          <w:sz w:val="21"/>
          <w:szCs w:val="21"/>
        </w:rPr>
        <w:t>1</w:t>
      </w:r>
      <w:r>
        <w:rPr>
          <w:rFonts w:hint="eastAsia" w:ascii="黑体" w:hAnsi="黑体" w:cs="黑体"/>
          <w:sz w:val="21"/>
          <w:szCs w:val="21"/>
        </w:rPr>
        <w:fldChar w:fldCharType="end"/>
      </w:r>
      <w:bookmarkStart w:id="424" w:name="_Toc31157"/>
      <w:bookmarkStart w:id="425" w:name="_Toc8293"/>
      <w:bookmarkStart w:id="426" w:name="_Toc15874"/>
      <w:r>
        <w:rPr>
          <w:rFonts w:hint="eastAsia" w:ascii="黑体" w:hAnsi="黑体" w:cs="黑体"/>
          <w:sz w:val="21"/>
          <w:szCs w:val="21"/>
        </w:rPr>
        <w:t xml:space="preserve"> 速冻薯条加工成套设备</w:t>
      </w:r>
      <w:bookmarkEnd w:id="424"/>
      <w:r>
        <w:rPr>
          <w:rFonts w:hint="eastAsia" w:ascii="黑体" w:hAnsi="黑体" w:cs="黑体"/>
          <w:sz w:val="21"/>
          <w:szCs w:val="21"/>
        </w:rPr>
        <w:t>型号组成</w:t>
      </w:r>
      <w:bookmarkEnd w:id="425"/>
      <w:bookmarkEnd w:id="426"/>
    </w:p>
    <w:p w14:paraId="6F609903">
      <w:pPr>
        <w:adjustRightInd/>
        <w:spacing w:line="360" w:lineRule="exact"/>
        <w:ind w:firstLine="360" w:firstLineChars="200"/>
        <w:rPr>
          <w:rFonts w:hint="eastAsia" w:ascii="黑体" w:hAnsi="黑体" w:eastAsia="黑体" w:cs="黑体"/>
          <w:kern w:val="0"/>
          <w:sz w:val="18"/>
          <w:szCs w:val="18"/>
        </w:rPr>
      </w:pPr>
      <w:r>
        <w:rPr>
          <w:rFonts w:hint="eastAsia" w:ascii="黑体" w:hAnsi="黑体" w:eastAsia="黑体" w:cs="黑体"/>
          <w:kern w:val="0"/>
          <w:sz w:val="18"/>
          <w:szCs w:val="18"/>
        </w:rPr>
        <w:t>示例：</w:t>
      </w:r>
    </w:p>
    <w:p w14:paraId="74DAE929">
      <w:pPr>
        <w:adjustRightInd/>
        <w:spacing w:line="240" w:lineRule="auto"/>
        <w:ind w:firstLine="360" w:firstLineChars="200"/>
        <w:rPr>
          <w:rFonts w:ascii="宋体"/>
          <w:kern w:val="0"/>
          <w:sz w:val="18"/>
          <w:szCs w:val="18"/>
        </w:rPr>
      </w:pPr>
      <w:r>
        <w:rPr>
          <w:rFonts w:hint="eastAsia" w:ascii="宋体"/>
          <w:kern w:val="0"/>
          <w:sz w:val="18"/>
          <w:szCs w:val="18"/>
        </w:rPr>
        <w:t>CT ST 1000表示额定生产能力为1000 kg/h的速冻薯条加工成套设备。</w:t>
      </w:r>
    </w:p>
    <w:p w14:paraId="7153E9BF">
      <w:pPr>
        <w:pStyle w:val="114"/>
        <w:numPr>
          <w:ilvl w:val="2"/>
          <w:numId w:val="35"/>
        </w:numPr>
        <w:spacing w:before="120" w:after="120"/>
        <w:rPr>
          <w:rFonts w:hint="eastAsia" w:hAnsi="黑体"/>
          <w:szCs w:val="21"/>
        </w:rPr>
      </w:pPr>
      <w:bookmarkStart w:id="427" w:name="_Toc4153"/>
      <w:bookmarkStart w:id="428" w:name="_Toc4890"/>
      <w:bookmarkStart w:id="429" w:name="_Toc196411802"/>
      <w:bookmarkStart w:id="430" w:name="_Toc25661"/>
      <w:bookmarkStart w:id="431" w:name="_Toc27277"/>
      <w:bookmarkStart w:id="432" w:name="_Toc9844"/>
      <w:r>
        <w:rPr>
          <w:rFonts w:hint="eastAsia" w:hAnsi="黑体"/>
          <w:szCs w:val="21"/>
        </w:rPr>
        <w:t>组成</w:t>
      </w:r>
      <w:bookmarkEnd w:id="423"/>
      <w:bookmarkEnd w:id="427"/>
      <w:bookmarkEnd w:id="428"/>
      <w:bookmarkEnd w:id="429"/>
      <w:bookmarkEnd w:id="430"/>
      <w:bookmarkEnd w:id="431"/>
      <w:bookmarkEnd w:id="432"/>
    </w:p>
    <w:p w14:paraId="002C0E79">
      <w:pPr>
        <w:numPr>
          <w:ilvl w:val="3"/>
          <w:numId w:val="35"/>
        </w:numPr>
        <w:adjustRightInd/>
        <w:spacing w:line="240" w:lineRule="auto"/>
        <w:jc w:val="both"/>
        <w:outlineLvl w:val="2"/>
        <w:rPr>
          <w:rFonts w:ascii="Times New Roman" w:hAnsi="Times New Roman"/>
          <w:kern w:val="0"/>
        </w:rPr>
      </w:pPr>
      <w:r>
        <w:rPr>
          <w:rFonts w:hint="eastAsia" w:ascii="Times New Roman" w:hAnsi="Times New Roman"/>
          <w:kern w:val="0"/>
        </w:rPr>
        <w:t>成套设备的基本配置应</w:t>
      </w:r>
      <w:r>
        <w:rPr>
          <w:rFonts w:hint="eastAsia" w:ascii="Times New Roman" w:hAnsi="Times New Roman"/>
        </w:rPr>
        <w:t>包括</w:t>
      </w:r>
      <w:r>
        <w:rPr>
          <w:rFonts w:hint="eastAsia" w:ascii="Times New Roman" w:hAnsi="Times New Roman"/>
          <w:kern w:val="0"/>
        </w:rPr>
        <w:t>下列设备：</w:t>
      </w:r>
    </w:p>
    <w:p w14:paraId="19B4045E">
      <w:pPr>
        <w:pStyle w:val="65"/>
        <w:numPr>
          <w:ilvl w:val="4"/>
          <w:numId w:val="36"/>
        </w:numPr>
        <w:ind w:left="0" w:firstLine="420"/>
        <w:rPr>
          <w:rFonts w:ascii="Times New Roman"/>
          <w:szCs w:val="21"/>
        </w:rPr>
      </w:pPr>
      <w:r>
        <w:rPr>
          <w:rFonts w:hint="eastAsia" w:ascii="Times New Roman"/>
          <w:szCs w:val="21"/>
        </w:rPr>
        <w:t>清洗设备；</w:t>
      </w:r>
    </w:p>
    <w:p w14:paraId="76668B97">
      <w:pPr>
        <w:pStyle w:val="65"/>
        <w:numPr>
          <w:ilvl w:val="4"/>
          <w:numId w:val="36"/>
        </w:numPr>
        <w:ind w:left="0" w:firstLine="420"/>
        <w:rPr>
          <w:rFonts w:ascii="Times New Roman"/>
          <w:szCs w:val="21"/>
        </w:rPr>
      </w:pPr>
      <w:r>
        <w:rPr>
          <w:rFonts w:hint="eastAsia" w:ascii="Times New Roman"/>
          <w:szCs w:val="21"/>
        </w:rPr>
        <w:t>去皮设备；</w:t>
      </w:r>
    </w:p>
    <w:p w14:paraId="102CE4A6">
      <w:pPr>
        <w:pStyle w:val="65"/>
        <w:numPr>
          <w:ilvl w:val="4"/>
          <w:numId w:val="36"/>
        </w:numPr>
        <w:ind w:left="0" w:firstLine="420"/>
        <w:rPr>
          <w:rFonts w:ascii="Times New Roman"/>
          <w:szCs w:val="21"/>
        </w:rPr>
      </w:pPr>
      <w:r>
        <w:rPr>
          <w:rFonts w:hint="eastAsia" w:ascii="Times New Roman"/>
          <w:szCs w:val="21"/>
        </w:rPr>
        <w:t>切条设备；</w:t>
      </w:r>
    </w:p>
    <w:p w14:paraId="687AAFEE">
      <w:pPr>
        <w:pStyle w:val="65"/>
        <w:numPr>
          <w:ilvl w:val="4"/>
          <w:numId w:val="36"/>
        </w:numPr>
        <w:ind w:left="0" w:firstLine="420"/>
        <w:rPr>
          <w:rFonts w:ascii="Times New Roman"/>
          <w:szCs w:val="21"/>
        </w:rPr>
      </w:pPr>
      <w:r>
        <w:rPr>
          <w:rFonts w:hint="eastAsia" w:ascii="Times New Roman"/>
          <w:szCs w:val="21"/>
        </w:rPr>
        <w:t>分选设备；</w:t>
      </w:r>
    </w:p>
    <w:p w14:paraId="2A182DA9">
      <w:pPr>
        <w:pStyle w:val="65"/>
        <w:numPr>
          <w:ilvl w:val="4"/>
          <w:numId w:val="36"/>
        </w:numPr>
        <w:ind w:left="0" w:firstLine="420"/>
        <w:rPr>
          <w:rFonts w:ascii="Times New Roman"/>
          <w:szCs w:val="21"/>
        </w:rPr>
      </w:pPr>
      <w:r>
        <w:rPr>
          <w:rFonts w:hint="eastAsia" w:ascii="Times New Roman"/>
          <w:szCs w:val="21"/>
        </w:rPr>
        <w:t>漂烫设备；</w:t>
      </w:r>
    </w:p>
    <w:p w14:paraId="7534F25C">
      <w:pPr>
        <w:pStyle w:val="65"/>
        <w:numPr>
          <w:ilvl w:val="4"/>
          <w:numId w:val="36"/>
        </w:numPr>
        <w:ind w:left="0" w:firstLine="420"/>
        <w:rPr>
          <w:rFonts w:ascii="Times New Roman"/>
          <w:szCs w:val="21"/>
        </w:rPr>
      </w:pPr>
      <w:r>
        <w:rPr>
          <w:rFonts w:hint="eastAsia" w:ascii="Times New Roman"/>
          <w:szCs w:val="21"/>
        </w:rPr>
        <w:t>调理设备；</w:t>
      </w:r>
    </w:p>
    <w:p w14:paraId="0B6B421C">
      <w:pPr>
        <w:pStyle w:val="65"/>
        <w:numPr>
          <w:ilvl w:val="4"/>
          <w:numId w:val="36"/>
        </w:numPr>
        <w:ind w:left="0" w:firstLine="420"/>
        <w:rPr>
          <w:rFonts w:ascii="Times New Roman"/>
          <w:szCs w:val="21"/>
        </w:rPr>
      </w:pPr>
      <w:r>
        <w:rPr>
          <w:rFonts w:hint="eastAsia" w:ascii="Times New Roman"/>
          <w:szCs w:val="21"/>
        </w:rPr>
        <w:t>烘干设备；</w:t>
      </w:r>
    </w:p>
    <w:p w14:paraId="307AAA04">
      <w:pPr>
        <w:pStyle w:val="65"/>
        <w:numPr>
          <w:ilvl w:val="4"/>
          <w:numId w:val="36"/>
        </w:numPr>
        <w:ind w:left="0" w:firstLine="420"/>
        <w:rPr>
          <w:rFonts w:ascii="Times New Roman"/>
          <w:szCs w:val="21"/>
        </w:rPr>
      </w:pPr>
      <w:r>
        <w:rPr>
          <w:rFonts w:hint="eastAsia" w:ascii="Times New Roman"/>
          <w:szCs w:val="21"/>
        </w:rPr>
        <w:t>油炸</w:t>
      </w:r>
      <w:bookmarkStart w:id="433" w:name="_Hlk112224981"/>
      <w:r>
        <w:rPr>
          <w:rFonts w:hint="eastAsia" w:ascii="Times New Roman"/>
          <w:szCs w:val="21"/>
        </w:rPr>
        <w:t>设备</w:t>
      </w:r>
      <w:bookmarkEnd w:id="433"/>
      <w:r>
        <w:rPr>
          <w:rFonts w:hint="eastAsia" w:ascii="Times New Roman"/>
          <w:szCs w:val="21"/>
        </w:rPr>
        <w:t>（含沥油装置及油过滤系统）；</w:t>
      </w:r>
    </w:p>
    <w:p w14:paraId="28AEE6E2">
      <w:pPr>
        <w:pStyle w:val="65"/>
        <w:numPr>
          <w:ilvl w:val="4"/>
          <w:numId w:val="36"/>
        </w:numPr>
        <w:ind w:left="0" w:firstLine="420"/>
        <w:rPr>
          <w:rFonts w:ascii="Times New Roman"/>
          <w:szCs w:val="21"/>
        </w:rPr>
      </w:pPr>
      <w:r>
        <w:rPr>
          <w:rFonts w:hint="eastAsia" w:ascii="Times New Roman"/>
          <w:szCs w:val="21"/>
        </w:rPr>
        <w:t>速冻设备。</w:t>
      </w:r>
    </w:p>
    <w:p w14:paraId="72B3F366">
      <w:pPr>
        <w:numPr>
          <w:ilvl w:val="3"/>
          <w:numId w:val="35"/>
        </w:numPr>
        <w:adjustRightInd/>
        <w:spacing w:line="240" w:lineRule="auto"/>
        <w:jc w:val="both"/>
        <w:outlineLvl w:val="2"/>
        <w:rPr>
          <w:rFonts w:ascii="Times New Roman" w:hAnsi="Times New Roman"/>
          <w:kern w:val="0"/>
        </w:rPr>
      </w:pPr>
      <w:r>
        <w:rPr>
          <w:rFonts w:hint="eastAsia" w:ascii="Times New Roman" w:hAnsi="Times New Roman"/>
          <w:kern w:val="0"/>
        </w:rPr>
        <w:t>成套设备可选配置包括但不限于下列设备：</w:t>
      </w:r>
    </w:p>
    <w:p w14:paraId="19787042">
      <w:pPr>
        <w:pStyle w:val="65"/>
        <w:numPr>
          <w:ilvl w:val="4"/>
          <w:numId w:val="37"/>
        </w:numPr>
        <w:ind w:left="0" w:firstLine="420"/>
        <w:rPr>
          <w:rFonts w:ascii="Times New Roman"/>
          <w:szCs w:val="21"/>
        </w:rPr>
      </w:pPr>
      <w:r>
        <w:rPr>
          <w:rFonts w:hint="eastAsia" w:ascii="Times New Roman"/>
          <w:szCs w:val="21"/>
        </w:rPr>
        <w:t>原料分选设备；</w:t>
      </w:r>
    </w:p>
    <w:p w14:paraId="5F3BF750">
      <w:pPr>
        <w:pStyle w:val="65"/>
        <w:numPr>
          <w:ilvl w:val="4"/>
          <w:numId w:val="37"/>
        </w:numPr>
        <w:ind w:left="0" w:firstLine="420"/>
        <w:rPr>
          <w:rFonts w:ascii="Times New Roman"/>
          <w:szCs w:val="21"/>
        </w:rPr>
      </w:pPr>
      <w:r>
        <w:rPr>
          <w:rFonts w:hint="eastAsia" w:ascii="Times New Roman"/>
          <w:szCs w:val="21"/>
        </w:rPr>
        <w:t>原料去石设备；</w:t>
      </w:r>
    </w:p>
    <w:p w14:paraId="4177AC1F">
      <w:pPr>
        <w:pStyle w:val="65"/>
        <w:numPr>
          <w:ilvl w:val="4"/>
          <w:numId w:val="37"/>
        </w:numPr>
        <w:ind w:left="0" w:firstLine="420"/>
        <w:rPr>
          <w:rFonts w:ascii="Times New Roman"/>
          <w:szCs w:val="21"/>
        </w:rPr>
      </w:pPr>
      <w:r>
        <w:rPr>
          <w:rFonts w:hint="eastAsia" w:ascii="Times New Roman"/>
          <w:szCs w:val="21"/>
        </w:rPr>
        <w:t>光选设备；</w:t>
      </w:r>
    </w:p>
    <w:p w14:paraId="72A7BA97">
      <w:pPr>
        <w:pStyle w:val="65"/>
        <w:numPr>
          <w:ilvl w:val="4"/>
          <w:numId w:val="37"/>
        </w:numPr>
        <w:ind w:left="0" w:firstLine="420"/>
        <w:rPr>
          <w:rFonts w:ascii="Times New Roman"/>
          <w:szCs w:val="21"/>
        </w:rPr>
      </w:pPr>
      <w:r>
        <w:rPr>
          <w:rFonts w:hint="eastAsia" w:ascii="Times New Roman"/>
          <w:szCs w:val="21"/>
        </w:rPr>
        <w:t>裹涂设备；</w:t>
      </w:r>
    </w:p>
    <w:p w14:paraId="191744C3">
      <w:pPr>
        <w:pStyle w:val="65"/>
        <w:numPr>
          <w:ilvl w:val="4"/>
          <w:numId w:val="37"/>
        </w:numPr>
        <w:ind w:left="0" w:firstLine="420"/>
        <w:rPr>
          <w:rFonts w:ascii="Times New Roman"/>
          <w:szCs w:val="21"/>
        </w:rPr>
      </w:pPr>
      <w:r>
        <w:rPr>
          <w:rFonts w:hint="eastAsia" w:ascii="Times New Roman"/>
          <w:szCs w:val="21"/>
        </w:rPr>
        <w:t>预冷设备；</w:t>
      </w:r>
    </w:p>
    <w:p w14:paraId="116CA278">
      <w:pPr>
        <w:pStyle w:val="65"/>
        <w:numPr>
          <w:ilvl w:val="4"/>
          <w:numId w:val="37"/>
        </w:numPr>
        <w:ind w:left="0" w:firstLine="420"/>
        <w:rPr>
          <w:rFonts w:ascii="Times New Roman"/>
          <w:szCs w:val="21"/>
        </w:rPr>
      </w:pPr>
      <w:r>
        <w:rPr>
          <w:rFonts w:hint="eastAsia" w:ascii="Times New Roman"/>
          <w:szCs w:val="21"/>
        </w:rPr>
        <w:t>金检设备；</w:t>
      </w:r>
    </w:p>
    <w:p w14:paraId="02A51049">
      <w:pPr>
        <w:pStyle w:val="65"/>
        <w:numPr>
          <w:ilvl w:val="4"/>
          <w:numId w:val="37"/>
        </w:numPr>
        <w:ind w:left="0" w:firstLine="420"/>
        <w:rPr>
          <w:rFonts w:ascii="Times New Roman"/>
          <w:szCs w:val="21"/>
        </w:rPr>
      </w:pPr>
      <w:r>
        <w:rPr>
          <w:rFonts w:hint="eastAsia" w:ascii="Times New Roman"/>
          <w:szCs w:val="21"/>
        </w:rPr>
        <w:t>自动包装设备。</w:t>
      </w:r>
    </w:p>
    <w:p w14:paraId="102171E2">
      <w:pPr>
        <w:pStyle w:val="268"/>
        <w:numPr>
          <w:ilvl w:val="1"/>
          <w:numId w:val="35"/>
        </w:numPr>
        <w:spacing w:before="240" w:after="240" w:line="240" w:lineRule="auto"/>
        <w:jc w:val="both"/>
        <w:rPr>
          <w:rFonts w:hint="eastAsia"/>
        </w:rPr>
      </w:pPr>
      <w:bookmarkStart w:id="434" w:name="_Toc196411882"/>
      <w:bookmarkStart w:id="435" w:name="_Toc710"/>
      <w:bookmarkStart w:id="436" w:name="_Toc27029"/>
      <w:bookmarkStart w:id="437" w:name="_Toc20838"/>
      <w:bookmarkStart w:id="438" w:name="_Toc3185"/>
      <w:bookmarkStart w:id="439" w:name="_Toc607"/>
      <w:r>
        <w:rPr>
          <w:rFonts w:hint="eastAsia"/>
        </w:rPr>
        <w:t>技术要求</w:t>
      </w:r>
      <w:bookmarkEnd w:id="434"/>
      <w:bookmarkEnd w:id="435"/>
      <w:bookmarkEnd w:id="436"/>
      <w:bookmarkEnd w:id="437"/>
      <w:bookmarkEnd w:id="438"/>
      <w:bookmarkEnd w:id="439"/>
    </w:p>
    <w:p w14:paraId="5BE38302">
      <w:pPr>
        <w:pStyle w:val="114"/>
        <w:numPr>
          <w:ilvl w:val="2"/>
          <w:numId w:val="35"/>
        </w:numPr>
        <w:spacing w:before="120" w:after="120"/>
        <w:rPr>
          <w:rFonts w:hint="eastAsia" w:hAnsi="黑体"/>
          <w:szCs w:val="21"/>
        </w:rPr>
      </w:pPr>
      <w:bookmarkStart w:id="440" w:name="_Toc25088"/>
      <w:bookmarkStart w:id="441" w:name="_Toc28318"/>
      <w:bookmarkStart w:id="442" w:name="_Toc7361"/>
      <w:bookmarkStart w:id="443" w:name="_Toc23190"/>
      <w:r>
        <w:rPr>
          <w:rFonts w:hint="eastAsia" w:hAnsi="黑体"/>
          <w:szCs w:val="21"/>
        </w:rPr>
        <w:t>材料要求</w:t>
      </w:r>
      <w:bookmarkEnd w:id="440"/>
      <w:bookmarkEnd w:id="441"/>
      <w:bookmarkEnd w:id="442"/>
      <w:bookmarkEnd w:id="443"/>
    </w:p>
    <w:p w14:paraId="6E71DA5C">
      <w:pPr>
        <w:numPr>
          <w:ilvl w:val="3"/>
          <w:numId w:val="35"/>
        </w:numPr>
        <w:adjustRightInd/>
        <w:spacing w:line="240" w:lineRule="auto"/>
        <w:jc w:val="both"/>
        <w:outlineLvl w:val="2"/>
        <w:rPr>
          <w:rFonts w:hint="eastAsia" w:ascii="宋体" w:hAnsi="宋体"/>
        </w:rPr>
      </w:pPr>
      <w:r>
        <w:rPr>
          <w:rFonts w:hint="eastAsia" w:ascii="宋体" w:hAnsi="宋体"/>
        </w:rPr>
        <w:t>成套设备的结构材料应符合GB 16798的规定。</w:t>
      </w:r>
    </w:p>
    <w:p w14:paraId="7E129184">
      <w:pPr>
        <w:numPr>
          <w:ilvl w:val="3"/>
          <w:numId w:val="35"/>
        </w:numPr>
        <w:adjustRightInd/>
        <w:spacing w:line="240" w:lineRule="auto"/>
        <w:jc w:val="both"/>
        <w:outlineLvl w:val="2"/>
        <w:rPr>
          <w:rFonts w:hint="eastAsia" w:ascii="宋体" w:hAnsi="宋体"/>
        </w:rPr>
      </w:pPr>
      <w:r>
        <w:rPr>
          <w:rFonts w:hint="eastAsia" w:ascii="宋体" w:hAnsi="宋体"/>
        </w:rPr>
        <w:t>成套设备所用原材料应符合使用要求，应有生产厂质量合格证明书。否则应按相关标准验收合格后，方可投入使用。</w:t>
      </w:r>
    </w:p>
    <w:p w14:paraId="67E6FAE7">
      <w:pPr>
        <w:pStyle w:val="114"/>
        <w:numPr>
          <w:ilvl w:val="2"/>
          <w:numId w:val="35"/>
        </w:numPr>
        <w:spacing w:before="120" w:after="120"/>
        <w:rPr>
          <w:rFonts w:hint="eastAsia" w:hAnsi="黑体"/>
          <w:szCs w:val="21"/>
        </w:rPr>
      </w:pPr>
      <w:bookmarkStart w:id="444" w:name="_Toc19935"/>
      <w:bookmarkStart w:id="445" w:name="_Toc23188"/>
      <w:bookmarkStart w:id="446" w:name="_Toc196411884"/>
      <w:bookmarkStart w:id="447" w:name="_Toc12576"/>
      <w:bookmarkStart w:id="448" w:name="_Toc25242"/>
      <w:bookmarkStart w:id="449" w:name="_Toc26814"/>
      <w:r>
        <w:rPr>
          <w:rFonts w:hint="eastAsia" w:hAnsi="黑体"/>
          <w:szCs w:val="21"/>
        </w:rPr>
        <w:t>加工要求</w:t>
      </w:r>
      <w:bookmarkEnd w:id="444"/>
      <w:bookmarkEnd w:id="445"/>
      <w:bookmarkEnd w:id="446"/>
      <w:bookmarkEnd w:id="447"/>
      <w:bookmarkEnd w:id="448"/>
      <w:bookmarkEnd w:id="449"/>
    </w:p>
    <w:p w14:paraId="4BC6AB1C">
      <w:pPr>
        <w:numPr>
          <w:ilvl w:val="3"/>
          <w:numId w:val="35"/>
        </w:numPr>
        <w:adjustRightInd/>
        <w:spacing w:line="240" w:lineRule="auto"/>
        <w:jc w:val="both"/>
        <w:outlineLvl w:val="2"/>
        <w:rPr>
          <w:rFonts w:hint="eastAsia" w:ascii="宋体" w:hAnsi="宋体"/>
        </w:rPr>
      </w:pPr>
      <w:r>
        <w:rPr>
          <w:rFonts w:hint="eastAsia" w:ascii="宋体" w:hAnsi="宋体"/>
        </w:rPr>
        <w:t>成套设备零部件的机械加工应符合</w:t>
      </w:r>
      <w:r>
        <w:rPr>
          <w:rFonts w:ascii="宋体" w:hAnsi="宋体"/>
        </w:rPr>
        <w:t>SB/T 223</w:t>
      </w:r>
      <w:r>
        <w:rPr>
          <w:rFonts w:hint="eastAsia" w:ascii="宋体" w:hAnsi="宋体"/>
        </w:rPr>
        <w:t>的规定。</w:t>
      </w:r>
    </w:p>
    <w:p w14:paraId="1B3C461F">
      <w:pPr>
        <w:numPr>
          <w:ilvl w:val="3"/>
          <w:numId w:val="35"/>
        </w:numPr>
        <w:adjustRightInd/>
        <w:spacing w:line="240" w:lineRule="auto"/>
        <w:jc w:val="both"/>
        <w:outlineLvl w:val="2"/>
        <w:rPr>
          <w:rFonts w:hint="eastAsia" w:ascii="宋体" w:hAnsi="宋体"/>
        </w:rPr>
      </w:pPr>
      <w:r>
        <w:rPr>
          <w:rFonts w:hint="eastAsia" w:ascii="宋体" w:hAnsi="宋体" w:cs="Arial"/>
        </w:rPr>
        <w:t>成套设备</w:t>
      </w:r>
      <w:r>
        <w:rPr>
          <w:rFonts w:hint="eastAsia" w:ascii="宋体" w:hAnsi="宋体"/>
        </w:rPr>
        <w:t>铸件应符合SB/T 225的规定。</w:t>
      </w:r>
    </w:p>
    <w:p w14:paraId="7B11A69F">
      <w:pPr>
        <w:numPr>
          <w:ilvl w:val="3"/>
          <w:numId w:val="35"/>
        </w:numPr>
        <w:adjustRightInd/>
        <w:spacing w:line="240" w:lineRule="auto"/>
        <w:jc w:val="both"/>
        <w:outlineLvl w:val="2"/>
        <w:rPr>
          <w:rFonts w:hint="eastAsia" w:ascii="宋体" w:hAnsi="宋体"/>
        </w:rPr>
      </w:pPr>
      <w:r>
        <w:rPr>
          <w:rFonts w:hint="eastAsia" w:ascii="宋体" w:hAnsi="宋体"/>
        </w:rPr>
        <w:t>成套设备焊接件应符合</w:t>
      </w:r>
      <w:r>
        <w:rPr>
          <w:rFonts w:ascii="宋体" w:hAnsi="宋体"/>
        </w:rPr>
        <w:t>SB/T 226</w:t>
      </w:r>
      <w:r>
        <w:rPr>
          <w:rFonts w:hint="eastAsia" w:ascii="宋体" w:hAnsi="宋体"/>
        </w:rPr>
        <w:t>的规定。</w:t>
      </w:r>
    </w:p>
    <w:p w14:paraId="17139661">
      <w:pPr>
        <w:numPr>
          <w:ilvl w:val="3"/>
          <w:numId w:val="35"/>
        </w:numPr>
        <w:adjustRightInd/>
        <w:spacing w:line="240" w:lineRule="auto"/>
        <w:jc w:val="both"/>
        <w:outlineLvl w:val="2"/>
        <w:rPr>
          <w:rFonts w:hint="eastAsia" w:ascii="宋体" w:hAnsi="宋体"/>
        </w:rPr>
      </w:pPr>
      <w:r>
        <w:rPr>
          <w:rFonts w:hint="eastAsia" w:ascii="宋体" w:hAnsi="宋体"/>
        </w:rPr>
        <w:t>成套设备表面涂漆应符合SB/T 228的规定。</w:t>
      </w:r>
    </w:p>
    <w:p w14:paraId="3C588C53">
      <w:pPr>
        <w:pStyle w:val="114"/>
        <w:numPr>
          <w:ilvl w:val="2"/>
          <w:numId w:val="35"/>
        </w:numPr>
        <w:spacing w:before="120" w:after="120"/>
        <w:rPr>
          <w:rFonts w:hint="eastAsia" w:hAnsi="黑体"/>
          <w:szCs w:val="21"/>
        </w:rPr>
      </w:pPr>
      <w:bookmarkStart w:id="450" w:name="_Toc28878"/>
      <w:bookmarkStart w:id="451" w:name="_Toc8999"/>
      <w:bookmarkStart w:id="452" w:name="_Toc196411885"/>
      <w:bookmarkStart w:id="453" w:name="_Toc23460"/>
      <w:bookmarkStart w:id="454" w:name="_Toc14023"/>
      <w:bookmarkStart w:id="455" w:name="_Toc10708"/>
      <w:r>
        <w:rPr>
          <w:rFonts w:hint="eastAsia" w:hAnsi="黑体"/>
          <w:szCs w:val="21"/>
        </w:rPr>
        <w:t>主要单机和系统要求</w:t>
      </w:r>
      <w:bookmarkEnd w:id="450"/>
      <w:bookmarkEnd w:id="451"/>
      <w:bookmarkEnd w:id="452"/>
      <w:bookmarkEnd w:id="453"/>
      <w:bookmarkEnd w:id="454"/>
      <w:bookmarkEnd w:id="455"/>
    </w:p>
    <w:p w14:paraId="38F504C4">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成套设备气动系统应符合GB/T 7932的规定。</w:t>
      </w:r>
    </w:p>
    <w:p w14:paraId="29E3D5EE">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去皮设备的去皮率不应小于95</w:t>
      </w:r>
      <w:r>
        <w:rPr>
          <w:rFonts w:hint="eastAsia" w:ascii="宋体" w:hAnsi="宋体" w:cs="宋体"/>
          <w:color w:val="000000"/>
          <w:kern w:val="0"/>
          <w:lang w:eastAsia="zh-CN"/>
        </w:rPr>
        <w:t>%</w:t>
      </w:r>
      <w:r>
        <w:rPr>
          <w:rFonts w:hint="eastAsia" w:ascii="宋体" w:hAnsi="宋体" w:cs="宋体"/>
          <w:color w:val="000000"/>
          <w:kern w:val="0"/>
        </w:rPr>
        <w:t>；摩擦去皮设备的去皮损失率不应大于20</w:t>
      </w:r>
      <w:r>
        <w:rPr>
          <w:rFonts w:hint="eastAsia" w:ascii="宋体" w:hAnsi="宋体" w:cs="宋体"/>
          <w:color w:val="000000"/>
          <w:kern w:val="0"/>
          <w:lang w:eastAsia="zh-CN"/>
        </w:rPr>
        <w:t>%</w:t>
      </w:r>
      <w:r>
        <w:rPr>
          <w:rFonts w:hint="eastAsia" w:ascii="宋体" w:hAnsi="宋体" w:cs="宋体"/>
          <w:color w:val="000000"/>
          <w:kern w:val="0"/>
        </w:rPr>
        <w:t>，蒸汽去皮设备的去皮损失率不应大于10</w:t>
      </w:r>
      <w:r>
        <w:rPr>
          <w:rFonts w:hint="eastAsia" w:ascii="宋体" w:hAnsi="宋体" w:cs="宋体"/>
          <w:color w:val="000000"/>
          <w:kern w:val="0"/>
          <w:lang w:eastAsia="zh-CN"/>
        </w:rPr>
        <w:t>%</w:t>
      </w:r>
      <w:r>
        <w:rPr>
          <w:rFonts w:hint="eastAsia" w:ascii="宋体" w:hAnsi="宋体" w:cs="宋体"/>
          <w:color w:val="000000"/>
          <w:kern w:val="0"/>
        </w:rPr>
        <w:t>，且应有防烫伤保护措施。</w:t>
      </w:r>
    </w:p>
    <w:p w14:paraId="0B472EC4">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切条设备的切条合格率不应小于95</w:t>
      </w:r>
      <w:r>
        <w:rPr>
          <w:rFonts w:hint="eastAsia" w:ascii="宋体" w:hAnsi="宋体" w:cs="宋体"/>
          <w:color w:val="000000"/>
          <w:kern w:val="0"/>
          <w:lang w:eastAsia="zh-CN"/>
        </w:rPr>
        <w:t>%</w:t>
      </w:r>
      <w:r>
        <w:rPr>
          <w:rFonts w:hint="eastAsia" w:ascii="宋体" w:hAnsi="宋体" w:cs="宋体"/>
          <w:color w:val="000000"/>
          <w:kern w:val="0"/>
        </w:rPr>
        <w:t>，刀具应固定牢固可靠。</w:t>
      </w:r>
    </w:p>
    <w:p w14:paraId="5F8F90BE">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分选设备的瑕疵条剔除率不应小于95</w:t>
      </w:r>
      <w:r>
        <w:rPr>
          <w:rFonts w:hint="eastAsia" w:ascii="宋体" w:hAnsi="宋体" w:cs="宋体"/>
          <w:color w:val="000000"/>
          <w:kern w:val="0"/>
          <w:lang w:eastAsia="zh-CN"/>
        </w:rPr>
        <w:t>%</w:t>
      </w:r>
      <w:r>
        <w:rPr>
          <w:rFonts w:hint="eastAsia" w:ascii="宋体" w:hAnsi="宋体" w:cs="宋体"/>
          <w:color w:val="000000"/>
          <w:kern w:val="0"/>
        </w:rPr>
        <w:t>。</w:t>
      </w:r>
    </w:p>
    <w:p w14:paraId="2598E5B2">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漂烫设备的漂烫温度及漂烫时间应满足加工速冻薯条漂烫工艺的要求，应有防烫伤保护措施。</w:t>
      </w:r>
    </w:p>
    <w:p w14:paraId="60EEB877">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调理设备的调理温度及调理时间应满足加工速冻薯条调理工艺的要求，应有防烫伤保护措施。</w:t>
      </w:r>
    </w:p>
    <w:p w14:paraId="78AD66D3">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烘干设备的烘干温度及烘干时间应满足加工速冻薯条烘干工艺的要求，应有防烫伤保护措施。</w:t>
      </w:r>
    </w:p>
    <w:p w14:paraId="58A0D47A">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油炸设备的油炸温度及油炸时间应满足加工速冻薯条油炸工艺的要求，产品含油率不应大于10</w:t>
      </w:r>
      <w:r>
        <w:rPr>
          <w:rFonts w:hint="eastAsia" w:ascii="宋体" w:hAnsi="宋体" w:cs="宋体"/>
          <w:color w:val="000000"/>
          <w:kern w:val="0"/>
          <w:lang w:eastAsia="zh-CN"/>
        </w:rPr>
        <w:t>%</w:t>
      </w:r>
      <w:r>
        <w:rPr>
          <w:rFonts w:hint="eastAsia" w:ascii="宋体" w:hAnsi="宋体" w:cs="宋体"/>
          <w:color w:val="000000"/>
          <w:kern w:val="0"/>
        </w:rPr>
        <w:t>，应有防烫伤保护措施。</w:t>
      </w:r>
    </w:p>
    <w:p w14:paraId="7BC39E79">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速冻设备的速冻温度及速冻时间应满足加工速冻薯条速冻工艺要求，应有防冻伤保护措施。</w:t>
      </w:r>
    </w:p>
    <w:p w14:paraId="7B12CE60">
      <w:pPr>
        <w:pStyle w:val="114"/>
        <w:numPr>
          <w:ilvl w:val="2"/>
          <w:numId w:val="35"/>
        </w:numPr>
        <w:spacing w:before="120" w:after="120"/>
        <w:rPr>
          <w:rFonts w:hint="eastAsia" w:hAnsi="黑体"/>
          <w:szCs w:val="21"/>
        </w:rPr>
      </w:pPr>
      <w:bookmarkStart w:id="456" w:name="_Toc16116"/>
      <w:bookmarkStart w:id="457" w:name="_Toc16666"/>
      <w:bookmarkStart w:id="458" w:name="_Toc623"/>
      <w:bookmarkStart w:id="459" w:name="_Toc25225"/>
      <w:bookmarkStart w:id="460" w:name="_Toc196411886"/>
      <w:bookmarkStart w:id="461" w:name="_Toc21527"/>
      <w:r>
        <w:rPr>
          <w:rFonts w:hint="eastAsia" w:hAnsi="黑体"/>
          <w:szCs w:val="21"/>
        </w:rPr>
        <w:t>装配要求</w:t>
      </w:r>
      <w:bookmarkEnd w:id="456"/>
      <w:bookmarkEnd w:id="457"/>
      <w:bookmarkEnd w:id="458"/>
      <w:bookmarkEnd w:id="459"/>
      <w:bookmarkEnd w:id="460"/>
      <w:bookmarkEnd w:id="461"/>
    </w:p>
    <w:p w14:paraId="0DD42044">
      <w:pPr>
        <w:numPr>
          <w:ilvl w:val="3"/>
          <w:numId w:val="35"/>
        </w:numPr>
        <w:adjustRightInd/>
        <w:spacing w:line="240" w:lineRule="auto"/>
        <w:jc w:val="both"/>
        <w:outlineLvl w:val="2"/>
        <w:rPr>
          <w:rFonts w:hint="eastAsia" w:ascii="宋体" w:hAnsi="宋体"/>
        </w:rPr>
      </w:pPr>
      <w:r>
        <w:rPr>
          <w:rFonts w:hint="eastAsia" w:ascii="宋体" w:hAnsi="宋体"/>
        </w:rPr>
        <w:t>成套设备装配应符合</w:t>
      </w:r>
      <w:r>
        <w:rPr>
          <w:rFonts w:ascii="宋体" w:hAnsi="宋体"/>
        </w:rPr>
        <w:t>SB/T 224</w:t>
      </w:r>
      <w:r>
        <w:rPr>
          <w:rFonts w:hint="eastAsia" w:ascii="宋体" w:hAnsi="宋体"/>
        </w:rPr>
        <w:t>的规定。</w:t>
      </w:r>
    </w:p>
    <w:p w14:paraId="06EBF781">
      <w:pPr>
        <w:numPr>
          <w:ilvl w:val="3"/>
          <w:numId w:val="35"/>
        </w:numPr>
        <w:adjustRightInd/>
        <w:spacing w:line="240" w:lineRule="auto"/>
        <w:jc w:val="both"/>
        <w:outlineLvl w:val="2"/>
        <w:rPr>
          <w:rFonts w:hint="eastAsia" w:ascii="宋体" w:hAnsi="宋体"/>
        </w:rPr>
      </w:pPr>
      <w:r>
        <w:rPr>
          <w:rFonts w:hint="eastAsia" w:ascii="宋体" w:hAnsi="宋体" w:cs="Arial"/>
          <w:kern w:val="0"/>
        </w:rPr>
        <w:t>成套</w:t>
      </w:r>
      <w:r>
        <w:rPr>
          <w:rFonts w:hint="eastAsia" w:ascii="宋体" w:hAnsi="宋体"/>
          <w:color w:val="000000"/>
        </w:rPr>
        <w:t>设备</w:t>
      </w:r>
      <w:r>
        <w:rPr>
          <w:rFonts w:hint="eastAsia" w:ascii="宋体" w:hAnsi="宋体"/>
          <w:color w:val="000000"/>
          <w:kern w:val="0"/>
        </w:rPr>
        <w:t>零部件的连接应可靠，零部件拆卸、安装应方便。</w:t>
      </w:r>
    </w:p>
    <w:p w14:paraId="55F23760">
      <w:pPr>
        <w:numPr>
          <w:ilvl w:val="3"/>
          <w:numId w:val="35"/>
        </w:numPr>
        <w:adjustRightInd/>
        <w:spacing w:line="240" w:lineRule="auto"/>
        <w:jc w:val="both"/>
        <w:outlineLvl w:val="2"/>
        <w:rPr>
          <w:rFonts w:hint="eastAsia" w:ascii="宋体" w:hAnsi="宋体"/>
        </w:rPr>
      </w:pPr>
      <w:r>
        <w:rPr>
          <w:rFonts w:hint="eastAsia" w:ascii="宋体" w:hAnsi="宋体" w:cs="Arial"/>
          <w:kern w:val="0"/>
        </w:rPr>
        <w:t>成套</w:t>
      </w:r>
      <w:r>
        <w:rPr>
          <w:rFonts w:hint="eastAsia" w:ascii="宋体" w:hAnsi="宋体"/>
        </w:rPr>
        <w:t>设备的管线及各管件的连接应可靠，不应有渗漏现象，与运动零部件应无干涉。</w:t>
      </w:r>
    </w:p>
    <w:p w14:paraId="4CC9509D">
      <w:pPr>
        <w:numPr>
          <w:ilvl w:val="3"/>
          <w:numId w:val="35"/>
        </w:numPr>
        <w:adjustRightInd/>
        <w:spacing w:line="240" w:lineRule="auto"/>
        <w:jc w:val="both"/>
        <w:outlineLvl w:val="2"/>
        <w:rPr>
          <w:rFonts w:hint="eastAsia" w:ascii="宋体" w:hAnsi="宋体"/>
        </w:rPr>
      </w:pPr>
      <w:r>
        <w:rPr>
          <w:rFonts w:hint="eastAsia" w:ascii="宋体" w:hAnsi="宋体"/>
        </w:rPr>
        <w:t>成套设备装配后外观质量应符合GB/T 14253的规定，不应有掉漆、划痕等损伤。</w:t>
      </w:r>
    </w:p>
    <w:p w14:paraId="42FC8B67">
      <w:pPr>
        <w:pStyle w:val="114"/>
        <w:numPr>
          <w:ilvl w:val="2"/>
          <w:numId w:val="35"/>
        </w:numPr>
        <w:spacing w:before="120" w:after="120"/>
        <w:rPr>
          <w:rFonts w:hint="eastAsia" w:hAnsi="黑体"/>
          <w:szCs w:val="21"/>
        </w:rPr>
      </w:pPr>
      <w:bookmarkStart w:id="462" w:name="_Toc196411887"/>
      <w:bookmarkStart w:id="463" w:name="_Toc1993"/>
      <w:bookmarkStart w:id="464" w:name="_Toc4915"/>
      <w:bookmarkStart w:id="465" w:name="_Toc24360"/>
      <w:bookmarkStart w:id="466" w:name="_Toc11497"/>
      <w:bookmarkStart w:id="467" w:name="_Toc15406"/>
      <w:r>
        <w:rPr>
          <w:rFonts w:hint="eastAsia" w:hAnsi="黑体"/>
          <w:szCs w:val="21"/>
        </w:rPr>
        <w:t>安装要求</w:t>
      </w:r>
      <w:bookmarkEnd w:id="462"/>
      <w:bookmarkEnd w:id="463"/>
      <w:bookmarkEnd w:id="464"/>
      <w:bookmarkEnd w:id="465"/>
      <w:bookmarkEnd w:id="466"/>
      <w:bookmarkEnd w:id="467"/>
    </w:p>
    <w:p w14:paraId="2AF5557C">
      <w:pPr>
        <w:numPr>
          <w:ilvl w:val="3"/>
          <w:numId w:val="35"/>
        </w:numPr>
        <w:adjustRightInd/>
        <w:spacing w:line="240" w:lineRule="auto"/>
        <w:jc w:val="both"/>
        <w:outlineLvl w:val="2"/>
        <w:rPr>
          <w:rFonts w:hint="eastAsia" w:ascii="宋体" w:hAnsi="宋体"/>
          <w:color w:val="000000"/>
        </w:rPr>
      </w:pPr>
      <w:r>
        <w:rPr>
          <w:rFonts w:hint="eastAsia" w:ascii="宋体" w:hAnsi="宋体"/>
          <w:color w:val="000000"/>
        </w:rPr>
        <w:t>成套设备气动系统的安装应符合GB/T 7932的规定，气动系统气路连接应密闭，无漏气现象。气动执行机构动作应准确，无阻滞或卡夹现象。</w:t>
      </w:r>
    </w:p>
    <w:p w14:paraId="27A4525D">
      <w:pPr>
        <w:numPr>
          <w:ilvl w:val="3"/>
          <w:numId w:val="35"/>
        </w:numPr>
        <w:adjustRightInd/>
        <w:spacing w:line="240" w:lineRule="auto"/>
        <w:jc w:val="both"/>
        <w:outlineLvl w:val="2"/>
        <w:rPr>
          <w:rFonts w:hint="eastAsia" w:ascii="宋体" w:hAnsi="宋体"/>
          <w:color w:val="000000"/>
        </w:rPr>
      </w:pPr>
      <w:r>
        <w:rPr>
          <w:rFonts w:hint="eastAsia" w:ascii="宋体" w:hAnsi="宋体"/>
          <w:color w:val="000000"/>
        </w:rPr>
        <w:t>成套设备水、油和蒸汽管路各管件的连接应可靠，管路不应有渗漏现象，水、油和蒸汽管路应符合GB/T 20801.1的规定。</w:t>
      </w:r>
    </w:p>
    <w:p w14:paraId="040BC1C7">
      <w:pPr>
        <w:numPr>
          <w:ilvl w:val="3"/>
          <w:numId w:val="35"/>
        </w:numPr>
        <w:adjustRightInd/>
        <w:spacing w:line="240" w:lineRule="auto"/>
        <w:jc w:val="both"/>
        <w:outlineLvl w:val="2"/>
        <w:rPr>
          <w:rFonts w:hint="eastAsia" w:ascii="宋体" w:hAnsi="宋体"/>
          <w:color w:val="000000"/>
        </w:rPr>
      </w:pPr>
      <w:r>
        <w:rPr>
          <w:rFonts w:hint="eastAsia" w:ascii="宋体" w:hAnsi="宋体"/>
          <w:color w:val="000000"/>
        </w:rPr>
        <w:t>成套设备各单机之间的衔接应保证物料运行流畅。</w:t>
      </w:r>
    </w:p>
    <w:p w14:paraId="39B42B9D">
      <w:pPr>
        <w:pStyle w:val="114"/>
        <w:numPr>
          <w:ilvl w:val="2"/>
          <w:numId w:val="35"/>
        </w:numPr>
        <w:spacing w:before="120" w:after="120"/>
        <w:rPr>
          <w:rFonts w:hint="eastAsia" w:hAnsi="黑体"/>
          <w:szCs w:val="21"/>
        </w:rPr>
      </w:pPr>
      <w:bookmarkStart w:id="468" w:name="_Toc16335"/>
      <w:bookmarkStart w:id="469" w:name="_Toc23351"/>
      <w:bookmarkStart w:id="470" w:name="_Toc31609"/>
      <w:bookmarkStart w:id="471" w:name="_Toc28498"/>
      <w:bookmarkStart w:id="472" w:name="_Toc196411888"/>
      <w:bookmarkStart w:id="473" w:name="_Toc246"/>
      <w:r>
        <w:rPr>
          <w:rFonts w:hint="eastAsia" w:hAnsi="黑体"/>
          <w:szCs w:val="21"/>
        </w:rPr>
        <w:t>卫生安全要求</w:t>
      </w:r>
      <w:bookmarkEnd w:id="468"/>
      <w:bookmarkEnd w:id="469"/>
      <w:bookmarkEnd w:id="470"/>
      <w:bookmarkEnd w:id="471"/>
      <w:bookmarkEnd w:id="472"/>
      <w:bookmarkEnd w:id="473"/>
    </w:p>
    <w:p w14:paraId="2E1649A9">
      <w:pPr>
        <w:numPr>
          <w:ilvl w:val="3"/>
          <w:numId w:val="35"/>
        </w:numPr>
        <w:adjustRightInd/>
        <w:spacing w:line="240" w:lineRule="auto"/>
        <w:jc w:val="both"/>
        <w:outlineLvl w:val="2"/>
        <w:rPr>
          <w:rFonts w:hint="eastAsia" w:ascii="宋体" w:hAnsi="宋体"/>
        </w:rPr>
      </w:pPr>
      <w:r>
        <w:rPr>
          <w:rFonts w:hint="eastAsia" w:ascii="宋体" w:hAnsi="宋体"/>
        </w:rPr>
        <w:t>成套设备结构的安全卫生应符合</w:t>
      </w:r>
      <w:r>
        <w:rPr>
          <w:rFonts w:ascii="宋体" w:hAnsi="宋体"/>
        </w:rPr>
        <w:t>GB 16798</w:t>
      </w:r>
      <w:r>
        <w:rPr>
          <w:rFonts w:hint="eastAsia" w:ascii="宋体" w:hAnsi="宋体"/>
        </w:rPr>
        <w:t>和</w:t>
      </w:r>
      <w:r>
        <w:rPr>
          <w:rFonts w:ascii="宋体" w:hAnsi="宋体"/>
        </w:rPr>
        <w:t>GB/T 19891</w:t>
      </w:r>
      <w:r>
        <w:rPr>
          <w:rFonts w:hint="eastAsia" w:ascii="宋体" w:hAnsi="宋体"/>
        </w:rPr>
        <w:t>的规定，与食品接触部分应符合</w:t>
      </w:r>
      <w:r>
        <w:rPr>
          <w:rFonts w:ascii="宋体" w:hAnsi="宋体"/>
        </w:rPr>
        <w:t>GB 4806.1</w:t>
      </w:r>
      <w:r>
        <w:rPr>
          <w:rFonts w:hint="eastAsia" w:ascii="宋体" w:hAnsi="宋体"/>
        </w:rPr>
        <w:t>的规定。</w:t>
      </w:r>
    </w:p>
    <w:p w14:paraId="3E204863">
      <w:pPr>
        <w:numPr>
          <w:ilvl w:val="3"/>
          <w:numId w:val="35"/>
        </w:numPr>
        <w:adjustRightInd/>
        <w:spacing w:line="240" w:lineRule="auto"/>
        <w:jc w:val="both"/>
        <w:outlineLvl w:val="2"/>
        <w:rPr>
          <w:rFonts w:hint="eastAsia" w:ascii="宋体" w:hAnsi="宋体"/>
        </w:rPr>
      </w:pPr>
      <w:r>
        <w:rPr>
          <w:rFonts w:hint="eastAsia" w:ascii="宋体" w:hAnsi="宋体"/>
        </w:rPr>
        <w:t>成套设备各润滑部位应方便操作，不应有渗漏油现象，润滑脂应符合</w:t>
      </w:r>
      <w:r>
        <w:rPr>
          <w:rFonts w:ascii="宋体" w:hAnsi="宋体"/>
        </w:rPr>
        <w:t>GB 15179</w:t>
      </w:r>
      <w:r>
        <w:rPr>
          <w:rFonts w:hint="eastAsia" w:ascii="宋体" w:hAnsi="宋体"/>
        </w:rPr>
        <w:t>的规定。</w:t>
      </w:r>
    </w:p>
    <w:p w14:paraId="7DAAAD7F">
      <w:pPr>
        <w:pStyle w:val="74"/>
        <w:numPr>
          <w:ilvl w:val="3"/>
          <w:numId w:val="35"/>
        </w:numPr>
        <w:spacing w:beforeLines="0" w:afterLines="0"/>
        <w:rPr>
          <w:rFonts w:hint="eastAsia" w:ascii="宋体" w:hAnsi="宋体" w:eastAsia="宋体"/>
          <w:color w:val="000000"/>
          <w:szCs w:val="21"/>
        </w:rPr>
      </w:pPr>
      <w:r>
        <w:rPr>
          <w:rFonts w:hint="eastAsia" w:ascii="宋体" w:hAnsi="宋体" w:eastAsia="宋体"/>
          <w:color w:val="000000"/>
          <w:szCs w:val="21"/>
        </w:rPr>
        <w:t>成套设备的表面应平整、光洁，不应有明显的凹凸不平等现象，不应存在死区。</w:t>
      </w:r>
    </w:p>
    <w:p w14:paraId="77FC32C0">
      <w:pPr>
        <w:adjustRightInd/>
        <w:spacing w:line="240" w:lineRule="auto"/>
        <w:ind w:left="780" w:leftChars="200" w:hanging="360" w:hangingChars="200"/>
        <w:jc w:val="both"/>
        <w:rPr>
          <w:rFonts w:hint="eastAsia" w:ascii="宋体" w:hAnsi="宋体"/>
          <w:color w:val="000000"/>
          <w:kern w:val="0"/>
          <w:szCs w:val="20"/>
        </w:rPr>
      </w:pPr>
      <w:r>
        <w:rPr>
          <w:rFonts w:hint="eastAsia" w:ascii="黑体" w:hAnsi="黑体" w:eastAsia="黑体" w:cs="黑体"/>
          <w:color w:val="000000"/>
          <w:sz w:val="18"/>
          <w:szCs w:val="16"/>
        </w:rPr>
        <w:t>注：</w:t>
      </w:r>
      <w:r>
        <w:rPr>
          <w:rFonts w:hint="eastAsia" w:ascii="Times New Roman" w:hAnsi="宋体"/>
          <w:color w:val="000000"/>
          <w:sz w:val="18"/>
          <w:szCs w:val="16"/>
        </w:rPr>
        <w:t>死区是指清洗介质或清洗物不能达到的区域，即在清洗过程中，原料、产品、清洗剂、消毒剂或污物可能陷入、存留其中或不能被完全清除的区域。</w:t>
      </w:r>
    </w:p>
    <w:p w14:paraId="6C421AD9">
      <w:pPr>
        <w:pStyle w:val="114"/>
        <w:numPr>
          <w:ilvl w:val="2"/>
          <w:numId w:val="35"/>
        </w:numPr>
        <w:spacing w:before="120" w:after="120"/>
        <w:rPr>
          <w:rFonts w:hint="eastAsia" w:hAnsi="黑体"/>
          <w:szCs w:val="21"/>
        </w:rPr>
      </w:pPr>
      <w:bookmarkStart w:id="474" w:name="_Toc20882"/>
      <w:bookmarkStart w:id="475" w:name="_Toc15104"/>
      <w:bookmarkStart w:id="476" w:name="_Toc29454"/>
      <w:bookmarkStart w:id="477" w:name="_Toc7971"/>
      <w:bookmarkStart w:id="478" w:name="_Toc196411889"/>
      <w:bookmarkStart w:id="479" w:name="_Toc26214"/>
      <w:r>
        <w:rPr>
          <w:rFonts w:hint="eastAsia" w:hAnsi="黑体"/>
          <w:szCs w:val="21"/>
        </w:rPr>
        <w:t>机械安全要求</w:t>
      </w:r>
      <w:bookmarkEnd w:id="474"/>
      <w:bookmarkEnd w:id="475"/>
      <w:bookmarkEnd w:id="476"/>
      <w:bookmarkEnd w:id="477"/>
      <w:bookmarkEnd w:id="478"/>
      <w:bookmarkEnd w:id="479"/>
    </w:p>
    <w:p w14:paraId="1D93B804">
      <w:pPr>
        <w:numPr>
          <w:ilvl w:val="3"/>
          <w:numId w:val="35"/>
        </w:numPr>
        <w:adjustRightInd/>
        <w:spacing w:line="240" w:lineRule="auto"/>
        <w:jc w:val="both"/>
        <w:outlineLvl w:val="2"/>
        <w:rPr>
          <w:rFonts w:hint="eastAsia" w:ascii="宋体" w:hAnsi="宋体"/>
        </w:rPr>
      </w:pPr>
      <w:r>
        <w:rPr>
          <w:rFonts w:hint="eastAsia" w:ascii="宋体" w:hAnsi="宋体"/>
        </w:rPr>
        <w:t>成套设备机械安全应符合GB/T 15706的规定。</w:t>
      </w:r>
    </w:p>
    <w:p w14:paraId="3F5DB27B">
      <w:pPr>
        <w:numPr>
          <w:ilvl w:val="3"/>
          <w:numId w:val="35"/>
        </w:numPr>
        <w:adjustRightInd/>
        <w:spacing w:line="240" w:lineRule="auto"/>
        <w:jc w:val="both"/>
        <w:outlineLvl w:val="2"/>
        <w:rPr>
          <w:rFonts w:hint="eastAsia" w:ascii="宋体" w:hAnsi="宋体"/>
        </w:rPr>
      </w:pPr>
      <w:r>
        <w:rPr>
          <w:rFonts w:hint="eastAsia" w:ascii="宋体" w:hAnsi="宋体"/>
        </w:rPr>
        <w:t>成套设备可能对人身或设备造成损伤的部位应采取相应的安全措施。安全防护装置应符合GB/T 8196的规定。</w:t>
      </w:r>
    </w:p>
    <w:p w14:paraId="33E24BAF">
      <w:pPr>
        <w:numPr>
          <w:ilvl w:val="3"/>
          <w:numId w:val="35"/>
        </w:numPr>
        <w:adjustRightInd/>
        <w:spacing w:line="240" w:lineRule="auto"/>
        <w:jc w:val="both"/>
        <w:outlineLvl w:val="2"/>
        <w:rPr>
          <w:rFonts w:hint="eastAsia" w:ascii="宋体" w:hAnsi="宋体"/>
        </w:rPr>
      </w:pPr>
      <w:r>
        <w:rPr>
          <w:rFonts w:hint="eastAsia" w:ascii="宋体" w:hAnsi="宋体"/>
        </w:rPr>
        <w:t>成套设备的外表面应光滑无毛刺，不应有明显的机械损伤，不应有对人体造成伤害的尖角及棱边。</w:t>
      </w:r>
    </w:p>
    <w:p w14:paraId="225FCBED">
      <w:pPr>
        <w:numPr>
          <w:ilvl w:val="3"/>
          <w:numId w:val="35"/>
        </w:numPr>
        <w:adjustRightInd/>
        <w:spacing w:line="240" w:lineRule="auto"/>
        <w:jc w:val="both"/>
        <w:outlineLvl w:val="2"/>
        <w:rPr>
          <w:rFonts w:hint="eastAsia" w:ascii="宋体" w:hAnsi="宋体"/>
        </w:rPr>
      </w:pPr>
      <w:r>
        <w:rPr>
          <w:rFonts w:hint="eastAsia" w:ascii="宋体" w:hAnsi="宋体"/>
        </w:rPr>
        <w:t>成套设备应有醒目的操纵、润滑、防烫等安全警示标志，安全标志应符合GB 2894的规定。</w:t>
      </w:r>
    </w:p>
    <w:p w14:paraId="15036250">
      <w:pPr>
        <w:numPr>
          <w:ilvl w:val="3"/>
          <w:numId w:val="35"/>
        </w:numPr>
        <w:adjustRightInd/>
        <w:spacing w:line="240" w:lineRule="auto"/>
        <w:jc w:val="both"/>
        <w:outlineLvl w:val="2"/>
        <w:rPr>
          <w:rFonts w:hint="eastAsia" w:ascii="宋体" w:hAnsi="宋体"/>
        </w:rPr>
      </w:pPr>
      <w:r>
        <w:rPr>
          <w:rFonts w:hint="eastAsia" w:ascii="宋体" w:hAnsi="宋体"/>
        </w:rPr>
        <w:t>成套设备应有过载保护器，当机器过载时应能报警且立即停止运行。</w:t>
      </w:r>
    </w:p>
    <w:p w14:paraId="05540EB6">
      <w:pPr>
        <w:numPr>
          <w:ilvl w:val="3"/>
          <w:numId w:val="35"/>
        </w:numPr>
        <w:adjustRightInd/>
        <w:spacing w:line="240" w:lineRule="auto"/>
        <w:jc w:val="both"/>
        <w:outlineLvl w:val="2"/>
        <w:rPr>
          <w:rFonts w:hint="eastAsia" w:ascii="宋体" w:hAnsi="宋体"/>
        </w:rPr>
      </w:pPr>
      <w:r>
        <w:rPr>
          <w:rFonts w:hint="eastAsia" w:ascii="宋体" w:hAnsi="宋体"/>
        </w:rPr>
        <w:t>成套设备易脱落的零部件应有防松脱装置。零件及螺栓、螺母等紧固件应可靠固定，不应因振动而松动和脱落。</w:t>
      </w:r>
    </w:p>
    <w:p w14:paraId="56728946">
      <w:pPr>
        <w:numPr>
          <w:ilvl w:val="3"/>
          <w:numId w:val="35"/>
        </w:numPr>
        <w:adjustRightInd/>
        <w:spacing w:line="240" w:lineRule="auto"/>
        <w:jc w:val="both"/>
        <w:outlineLvl w:val="2"/>
        <w:rPr>
          <w:rFonts w:hint="eastAsia" w:ascii="宋体" w:hAnsi="宋体"/>
        </w:rPr>
      </w:pPr>
      <w:r>
        <w:rPr>
          <w:rFonts w:hint="eastAsia" w:ascii="宋体" w:hAnsi="宋体" w:cs="宋体"/>
          <w:color w:val="000000" w:themeColor="text1"/>
          <w14:textFill>
            <w14:solidFill>
              <w14:schemeClr w14:val="tx1"/>
            </w14:solidFill>
          </w14:textFill>
        </w:rPr>
        <w:t>滑动轴承的工作温度不应超过70 ℃、温升不应超过30 ℃，滚动轴承的工作温度不应超过80 ℃、温升不应超过35 ℃。</w:t>
      </w:r>
    </w:p>
    <w:p w14:paraId="1A276F61">
      <w:pPr>
        <w:pStyle w:val="114"/>
        <w:numPr>
          <w:ilvl w:val="2"/>
          <w:numId w:val="35"/>
        </w:numPr>
        <w:spacing w:before="120" w:after="120"/>
        <w:rPr>
          <w:rFonts w:hint="eastAsia" w:hAnsi="黑体"/>
          <w:szCs w:val="21"/>
        </w:rPr>
      </w:pPr>
      <w:bookmarkStart w:id="480" w:name="_Toc196411890"/>
      <w:bookmarkStart w:id="481" w:name="_Toc32630"/>
      <w:bookmarkStart w:id="482" w:name="_Toc3886"/>
      <w:bookmarkStart w:id="483" w:name="_Toc17449"/>
      <w:bookmarkStart w:id="484" w:name="_Toc30247"/>
      <w:bookmarkStart w:id="485" w:name="_Toc23027"/>
      <w:r>
        <w:rPr>
          <w:rFonts w:hint="eastAsia" w:hAnsi="黑体"/>
          <w:szCs w:val="21"/>
        </w:rPr>
        <w:t>电气安全要求</w:t>
      </w:r>
      <w:bookmarkEnd w:id="480"/>
      <w:bookmarkEnd w:id="481"/>
      <w:bookmarkEnd w:id="482"/>
      <w:bookmarkEnd w:id="483"/>
      <w:bookmarkEnd w:id="484"/>
      <w:bookmarkEnd w:id="485"/>
    </w:p>
    <w:p w14:paraId="691BB4C3">
      <w:pPr>
        <w:numPr>
          <w:ilvl w:val="3"/>
          <w:numId w:val="35"/>
        </w:numPr>
        <w:adjustRightInd/>
        <w:spacing w:line="240" w:lineRule="auto"/>
        <w:jc w:val="both"/>
        <w:outlineLvl w:val="2"/>
        <w:rPr>
          <w:rFonts w:hint="eastAsia" w:ascii="宋体" w:hAnsi="宋体"/>
          <w:color w:val="000000"/>
        </w:rPr>
      </w:pPr>
      <w:r>
        <w:rPr>
          <w:rFonts w:hint="eastAsia" w:ascii="宋体" w:hAnsi="宋体"/>
          <w:color w:val="000000"/>
        </w:rPr>
        <w:t>成套设备电气安全应符合GB/T 5226.1的规定，应通过电阻试验和耐压试验。</w:t>
      </w:r>
    </w:p>
    <w:p w14:paraId="6AB8BD83">
      <w:pPr>
        <w:numPr>
          <w:ilvl w:val="3"/>
          <w:numId w:val="35"/>
        </w:numPr>
        <w:adjustRightInd/>
        <w:spacing w:line="240" w:lineRule="auto"/>
        <w:jc w:val="both"/>
        <w:outlineLvl w:val="2"/>
        <w:rPr>
          <w:rFonts w:hint="eastAsia" w:ascii="宋体" w:hAnsi="宋体"/>
          <w:color w:val="000000"/>
        </w:rPr>
      </w:pPr>
      <w:r>
        <w:rPr>
          <w:rFonts w:hint="eastAsia" w:ascii="宋体" w:hAnsi="宋体"/>
          <w:color w:val="000000"/>
        </w:rPr>
        <w:t>电气控制系统应安全可靠、控制准确，电气线路接头应联接牢固并加以编号，导线不应裸露，应有漏电保护装置。操作按钮应可靠，并有急停按钮，指示灯显示应正常。</w:t>
      </w:r>
    </w:p>
    <w:p w14:paraId="4EF89249">
      <w:pPr>
        <w:numPr>
          <w:ilvl w:val="3"/>
          <w:numId w:val="35"/>
        </w:numPr>
        <w:adjustRightInd/>
        <w:spacing w:line="240" w:lineRule="auto"/>
        <w:jc w:val="both"/>
        <w:outlineLvl w:val="2"/>
        <w:rPr>
          <w:rFonts w:hint="eastAsia" w:ascii="宋体" w:hAnsi="宋体"/>
          <w:color w:val="000000"/>
        </w:rPr>
      </w:pPr>
      <w:r>
        <w:rPr>
          <w:rFonts w:hint="eastAsia" w:ascii="宋体" w:hAnsi="宋体"/>
          <w:color w:val="000000"/>
        </w:rPr>
        <w:t>成套设备应有可靠的接地装置，并有明显的接地标志。成套设备接地端子或接地触点与接地金属部件之间的连接应具有低电阻，其电阻值不应大于0.1 Ω，并有防腐蚀措施。</w:t>
      </w:r>
    </w:p>
    <w:p w14:paraId="339525F0">
      <w:pPr>
        <w:numPr>
          <w:ilvl w:val="3"/>
          <w:numId w:val="35"/>
        </w:numPr>
        <w:adjustRightInd/>
        <w:spacing w:line="240" w:lineRule="auto"/>
        <w:jc w:val="both"/>
        <w:outlineLvl w:val="2"/>
        <w:rPr>
          <w:rFonts w:hint="eastAsia" w:ascii="宋体" w:hAnsi="宋体"/>
          <w:color w:val="000000"/>
        </w:rPr>
      </w:pPr>
      <w:r>
        <w:rPr>
          <w:rFonts w:hint="eastAsia" w:ascii="宋体" w:hAnsi="宋体"/>
          <w:color w:val="000000"/>
        </w:rPr>
        <w:t>成套设备动力电路导线和保护联结电路间施加DC 500 V时测得的绝缘电阻不应小于1 MΩ。</w:t>
      </w:r>
    </w:p>
    <w:p w14:paraId="41E13D9C">
      <w:pPr>
        <w:numPr>
          <w:ilvl w:val="3"/>
          <w:numId w:val="35"/>
        </w:numPr>
        <w:adjustRightInd/>
        <w:spacing w:line="240" w:lineRule="auto"/>
        <w:jc w:val="both"/>
        <w:outlineLvl w:val="2"/>
        <w:rPr>
          <w:rFonts w:hint="eastAsia" w:ascii="宋体" w:hAnsi="宋体"/>
          <w:color w:val="000000"/>
        </w:rPr>
      </w:pPr>
      <w:r>
        <w:rPr>
          <w:rFonts w:hint="eastAsia" w:ascii="宋体" w:hAnsi="宋体"/>
          <w:color w:val="000000"/>
        </w:rPr>
        <w:t>成套设备最大试验电压取两倍的电气设备额定电源电压值或1000 V中的较大者。在动力电路导线和保护联结电路间施加最大试验电压并保持至少1 s时间，不应出现击穿、放电现象。</w:t>
      </w:r>
    </w:p>
    <w:p w14:paraId="6F959084">
      <w:pPr>
        <w:numPr>
          <w:ilvl w:val="3"/>
          <w:numId w:val="35"/>
        </w:numPr>
        <w:adjustRightInd/>
        <w:spacing w:line="240" w:lineRule="auto"/>
        <w:jc w:val="both"/>
        <w:outlineLvl w:val="2"/>
        <w:rPr>
          <w:rFonts w:hint="eastAsia" w:ascii="宋体" w:hAnsi="宋体"/>
          <w:color w:val="000000"/>
        </w:rPr>
      </w:pPr>
      <w:r>
        <w:rPr>
          <w:rFonts w:hint="eastAsia" w:ascii="宋体" w:hAnsi="宋体"/>
          <w:color w:val="000000"/>
        </w:rPr>
        <w:t>成套设备控制柜和现场安装的电器元件外壳安全防护应符合GB/T 4208的规定，防护等级不应低于IP 55的要求。</w:t>
      </w:r>
    </w:p>
    <w:p w14:paraId="29AF5B4C">
      <w:pPr>
        <w:pStyle w:val="114"/>
        <w:numPr>
          <w:ilvl w:val="2"/>
          <w:numId w:val="35"/>
        </w:numPr>
        <w:spacing w:before="120" w:after="120"/>
        <w:rPr>
          <w:rFonts w:hint="eastAsia" w:hAnsi="黑体"/>
          <w:szCs w:val="21"/>
        </w:rPr>
      </w:pPr>
      <w:bookmarkStart w:id="486" w:name="_Toc187322217"/>
      <w:bookmarkStart w:id="487" w:name="_Toc26831"/>
      <w:bookmarkStart w:id="488" w:name="_Toc196411891"/>
      <w:bookmarkStart w:id="489" w:name="_Toc27112"/>
      <w:bookmarkStart w:id="490" w:name="_Toc196300144"/>
      <w:bookmarkStart w:id="491" w:name="_Toc10709"/>
      <w:bookmarkStart w:id="492" w:name="_Toc195185173"/>
      <w:bookmarkStart w:id="493" w:name="_Toc12418"/>
      <w:bookmarkStart w:id="494" w:name="_Toc5666"/>
      <w:r>
        <w:rPr>
          <w:rFonts w:hint="eastAsia" w:hAnsi="黑体"/>
          <w:szCs w:val="21"/>
        </w:rPr>
        <w:t>成（配）套性</w:t>
      </w:r>
      <w:bookmarkEnd w:id="486"/>
      <w:bookmarkEnd w:id="487"/>
      <w:bookmarkEnd w:id="488"/>
      <w:bookmarkEnd w:id="489"/>
      <w:bookmarkEnd w:id="490"/>
      <w:bookmarkEnd w:id="491"/>
      <w:bookmarkEnd w:id="492"/>
      <w:bookmarkEnd w:id="493"/>
      <w:bookmarkEnd w:id="494"/>
    </w:p>
    <w:p w14:paraId="53E612E3">
      <w:pPr>
        <w:numPr>
          <w:ilvl w:val="3"/>
          <w:numId w:val="35"/>
        </w:numPr>
        <w:adjustRightInd/>
        <w:spacing w:line="240" w:lineRule="auto"/>
        <w:jc w:val="both"/>
        <w:outlineLvl w:val="2"/>
        <w:rPr>
          <w:rFonts w:hint="eastAsia" w:ascii="宋体" w:hAnsi="宋体"/>
        </w:rPr>
      </w:pPr>
      <w:r>
        <w:rPr>
          <w:rFonts w:hint="eastAsia" w:ascii="宋体" w:hAnsi="宋体"/>
        </w:rPr>
        <w:t>成套设备中各单机的功能和生产能力应匹配和相互协调，满足生产工艺要求，各单机产能配套系数宜为1.0～1.2。</w:t>
      </w:r>
    </w:p>
    <w:p w14:paraId="5D254216">
      <w:pPr>
        <w:widowControl/>
        <w:adjustRightInd/>
        <w:spacing w:line="240" w:lineRule="auto"/>
        <w:ind w:left="780" w:leftChars="200" w:hanging="360" w:hangingChars="200"/>
        <w:jc w:val="both"/>
        <w:rPr>
          <w:rFonts w:hint="eastAsia" w:ascii="Times New Roman" w:hAnsi="宋体"/>
          <w:color w:val="000000"/>
          <w:sz w:val="18"/>
          <w:szCs w:val="16"/>
        </w:rPr>
      </w:pPr>
      <w:r>
        <w:rPr>
          <w:rFonts w:hint="eastAsia" w:ascii="黑体" w:hAnsi="黑体" w:eastAsia="黑体" w:cs="黑体"/>
          <w:color w:val="000000"/>
          <w:sz w:val="18"/>
          <w:szCs w:val="16"/>
          <w:lang w:bidi="ar"/>
        </w:rPr>
        <w:t>注：</w:t>
      </w:r>
      <w:r>
        <w:rPr>
          <w:rFonts w:hint="eastAsia" w:ascii="Times New Roman" w:hAnsi="宋体"/>
          <w:color w:val="000000"/>
          <w:sz w:val="18"/>
          <w:szCs w:val="16"/>
          <w:lang w:bidi="ar"/>
        </w:rPr>
        <w:t>产能配套系数指各单机的额定生产能力与成套设备设计生产能力的比值。</w:t>
      </w:r>
    </w:p>
    <w:p w14:paraId="7BB673FB">
      <w:pPr>
        <w:numPr>
          <w:ilvl w:val="3"/>
          <w:numId w:val="35"/>
        </w:numPr>
        <w:adjustRightInd/>
        <w:spacing w:line="240" w:lineRule="auto"/>
        <w:jc w:val="both"/>
        <w:outlineLvl w:val="2"/>
        <w:rPr>
          <w:rFonts w:hint="eastAsia" w:ascii="宋体" w:hAnsi="宋体"/>
        </w:rPr>
      </w:pPr>
      <w:r>
        <w:rPr>
          <w:rFonts w:hint="eastAsia" w:ascii="宋体" w:hAnsi="宋体"/>
        </w:rPr>
        <w:t>应配齐保证成套设备设备基本性能要求的附件和专用工具，附件和专用工具应附有质量合格证。</w:t>
      </w:r>
    </w:p>
    <w:p w14:paraId="58ECB813">
      <w:pPr>
        <w:pStyle w:val="114"/>
        <w:numPr>
          <w:ilvl w:val="2"/>
          <w:numId w:val="35"/>
        </w:numPr>
        <w:spacing w:before="120" w:after="120"/>
        <w:rPr>
          <w:rFonts w:hint="eastAsia" w:hAnsi="黑体"/>
          <w:szCs w:val="21"/>
        </w:rPr>
      </w:pPr>
      <w:bookmarkStart w:id="495" w:name="_Toc27725"/>
      <w:bookmarkStart w:id="496" w:name="_Toc6464"/>
      <w:bookmarkStart w:id="497" w:name="_Toc29418"/>
      <w:bookmarkStart w:id="498" w:name="_Toc196411914"/>
      <w:bookmarkStart w:id="499" w:name="_Toc6907"/>
      <w:bookmarkStart w:id="500" w:name="_Toc21953"/>
      <w:bookmarkStart w:id="501" w:name="_Hlk107127476"/>
      <w:r>
        <w:rPr>
          <w:rFonts w:hint="eastAsia" w:hAnsi="黑体"/>
          <w:szCs w:val="21"/>
        </w:rPr>
        <w:t>性能要求</w:t>
      </w:r>
      <w:bookmarkEnd w:id="495"/>
      <w:bookmarkEnd w:id="496"/>
      <w:bookmarkEnd w:id="497"/>
      <w:bookmarkEnd w:id="498"/>
      <w:bookmarkEnd w:id="499"/>
      <w:bookmarkEnd w:id="500"/>
    </w:p>
    <w:p w14:paraId="6B4AF2C1">
      <w:pPr>
        <w:pStyle w:val="114"/>
        <w:numPr>
          <w:ilvl w:val="3"/>
          <w:numId w:val="35"/>
        </w:numPr>
        <w:spacing w:beforeLines="0" w:afterLines="0"/>
        <w:outlineLvl w:val="2"/>
        <w:rPr>
          <w:rFonts w:hint="eastAsia" w:ascii="宋体" w:hAnsi="宋体" w:eastAsia="宋体" w:cs="宋体"/>
          <w:color w:val="0070C0"/>
        </w:rPr>
      </w:pPr>
      <w:bookmarkStart w:id="502" w:name="_Toc204448582"/>
      <w:bookmarkStart w:id="503" w:name="_Toc204068469"/>
      <w:r>
        <w:rPr>
          <w:rFonts w:hint="eastAsia" w:ascii="宋体" w:hAnsi="宋体" w:eastAsia="宋体" w:cs="宋体"/>
          <w:szCs w:val="21"/>
        </w:rPr>
        <w:t>成套</w:t>
      </w:r>
      <w:r>
        <w:rPr>
          <w:rFonts w:hint="eastAsia" w:ascii="宋体" w:hAnsi="宋体" w:eastAsia="宋体" w:cs="宋体"/>
        </w:rPr>
        <w:t>设备正常运行时，性能参数应符合表1的规定。</w:t>
      </w:r>
      <w:bookmarkEnd w:id="502"/>
      <w:bookmarkEnd w:id="503"/>
    </w:p>
    <w:p w14:paraId="59F6AEC2">
      <w:pPr>
        <w:pStyle w:val="13"/>
        <w:spacing w:before="120" w:beforeLines="50" w:after="120" w:afterLines="50" w:line="240" w:lineRule="auto"/>
        <w:jc w:val="center"/>
        <w:rPr>
          <w:rFonts w:hint="eastAsia"/>
          <w:sz w:val="21"/>
          <w:szCs w:val="21"/>
        </w:rPr>
      </w:pPr>
      <w:r>
        <w:rPr>
          <w:rFonts w:hint="eastAsia" w:ascii="黑体" w:hAnsi="黑体"/>
          <w:sz w:val="21"/>
          <w:szCs w:val="21"/>
        </w:rPr>
        <w:t xml:space="preserve">表 </w:t>
      </w:r>
      <w:r>
        <w:rPr>
          <w:rFonts w:hint="eastAsia" w:ascii="黑体" w:hAnsi="黑体"/>
          <w:sz w:val="21"/>
          <w:szCs w:val="21"/>
        </w:rPr>
        <w:fldChar w:fldCharType="begin"/>
      </w:r>
      <w:r>
        <w:rPr>
          <w:rFonts w:hint="eastAsia" w:ascii="黑体" w:hAnsi="黑体"/>
          <w:sz w:val="21"/>
          <w:szCs w:val="21"/>
        </w:rPr>
        <w:instrText xml:space="preserve"> SEQ 表 \* ARABIC </w:instrText>
      </w:r>
      <w:r>
        <w:rPr>
          <w:rFonts w:hint="eastAsia" w:ascii="黑体" w:hAnsi="黑体"/>
          <w:sz w:val="21"/>
          <w:szCs w:val="21"/>
        </w:rPr>
        <w:fldChar w:fldCharType="separate"/>
      </w:r>
      <w:r>
        <w:rPr>
          <w:rFonts w:hint="eastAsia" w:ascii="黑体" w:hAnsi="黑体"/>
          <w:sz w:val="21"/>
          <w:szCs w:val="21"/>
        </w:rPr>
        <w:t>1</w:t>
      </w:r>
      <w:r>
        <w:rPr>
          <w:rFonts w:hint="eastAsia" w:ascii="黑体" w:hAnsi="黑体"/>
          <w:sz w:val="21"/>
          <w:szCs w:val="21"/>
        </w:rPr>
        <w:fldChar w:fldCharType="end"/>
      </w:r>
      <w:bookmarkStart w:id="504" w:name="_Toc3148"/>
      <w:bookmarkStart w:id="505" w:name="_Toc30685"/>
      <w:bookmarkStart w:id="506" w:name="_Toc8722"/>
      <w:bookmarkStart w:id="507" w:name="_Toc12282"/>
      <w:r>
        <w:rPr>
          <w:rFonts w:hint="eastAsia" w:ascii="黑体" w:hAnsi="黑体"/>
          <w:sz w:val="21"/>
          <w:szCs w:val="21"/>
        </w:rPr>
        <w:t xml:space="preserve"> 成套设备主要性能参数</w:t>
      </w:r>
      <w:bookmarkEnd w:id="504"/>
      <w:bookmarkEnd w:id="505"/>
      <w:bookmarkEnd w:id="506"/>
      <w:bookmarkEnd w:id="507"/>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4"/>
        <w:gridCol w:w="3254"/>
      </w:tblGrid>
      <w:tr w14:paraId="4A2E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3254" w:type="dxa"/>
            <w:vAlign w:val="center"/>
          </w:tcPr>
          <w:p w14:paraId="0E24F893">
            <w:pPr>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名称</w:t>
            </w:r>
          </w:p>
        </w:tc>
        <w:tc>
          <w:tcPr>
            <w:tcW w:w="3254" w:type="dxa"/>
            <w:vAlign w:val="center"/>
          </w:tcPr>
          <w:p w14:paraId="2FE661F6">
            <w:pPr>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参数</w:t>
            </w:r>
          </w:p>
        </w:tc>
      </w:tr>
      <w:tr w14:paraId="5E76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254" w:type="dxa"/>
            <w:vAlign w:val="center"/>
          </w:tcPr>
          <w:p w14:paraId="3CB1035F">
            <w:pPr>
              <w:autoSpaceDE w:val="0"/>
              <w:autoSpaceDN w:val="0"/>
              <w:adjustRightInd/>
              <w:spacing w:line="240" w:lineRule="auto"/>
              <w:jc w:val="center"/>
              <w:rPr>
                <w:rFonts w:hint="eastAsia" w:ascii="宋体" w:hAnsi="宋体"/>
                <w:sz w:val="18"/>
                <w:szCs w:val="18"/>
              </w:rPr>
            </w:pPr>
            <w:r>
              <w:rPr>
                <w:rFonts w:hint="eastAsia" w:ascii="宋体" w:hAnsi="宋体"/>
                <w:sz w:val="18"/>
                <w:szCs w:val="18"/>
              </w:rPr>
              <w:t>生产能力</w:t>
            </w:r>
          </w:p>
        </w:tc>
        <w:tc>
          <w:tcPr>
            <w:tcW w:w="3254" w:type="dxa"/>
            <w:vAlign w:val="center"/>
          </w:tcPr>
          <w:p w14:paraId="2C58283E">
            <w:pPr>
              <w:autoSpaceDE w:val="0"/>
              <w:autoSpaceDN w:val="0"/>
              <w:adjustRightInd/>
              <w:spacing w:line="240" w:lineRule="auto"/>
              <w:jc w:val="center"/>
              <w:rPr>
                <w:rFonts w:hint="eastAsia" w:ascii="宋体" w:hAnsi="宋体"/>
                <w:sz w:val="18"/>
                <w:szCs w:val="18"/>
              </w:rPr>
            </w:pPr>
            <w:r>
              <w:rPr>
                <w:rFonts w:hint="eastAsia" w:ascii="宋体" w:hAnsi="宋体"/>
                <w:sz w:val="18"/>
                <w:szCs w:val="18"/>
              </w:rPr>
              <w:t>≥1</w:t>
            </w:r>
            <w:r>
              <w:rPr>
                <w:rFonts w:ascii="宋体" w:hAnsi="宋体"/>
                <w:sz w:val="18"/>
                <w:szCs w:val="18"/>
              </w:rPr>
              <w:t>000 kg/h</w:t>
            </w:r>
          </w:p>
        </w:tc>
      </w:tr>
      <w:tr w14:paraId="12EF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254" w:type="dxa"/>
            <w:vAlign w:val="center"/>
          </w:tcPr>
          <w:p w14:paraId="43F7BC71">
            <w:pPr>
              <w:autoSpaceDE w:val="0"/>
              <w:autoSpaceDN w:val="0"/>
              <w:adjustRightInd/>
              <w:spacing w:line="240" w:lineRule="auto"/>
              <w:jc w:val="center"/>
              <w:rPr>
                <w:rFonts w:hint="eastAsia" w:ascii="宋体" w:hAnsi="宋体"/>
                <w:sz w:val="18"/>
                <w:szCs w:val="18"/>
              </w:rPr>
            </w:pPr>
            <w:r>
              <w:rPr>
                <w:rFonts w:hint="eastAsia" w:ascii="宋体" w:hAnsi="宋体"/>
                <w:sz w:val="18"/>
                <w:szCs w:val="18"/>
              </w:rPr>
              <w:t>生产效率</w:t>
            </w:r>
          </w:p>
        </w:tc>
        <w:tc>
          <w:tcPr>
            <w:tcW w:w="3254" w:type="dxa"/>
            <w:vAlign w:val="center"/>
          </w:tcPr>
          <w:p w14:paraId="6C07A130">
            <w:pPr>
              <w:autoSpaceDE w:val="0"/>
              <w:autoSpaceDN w:val="0"/>
              <w:adjustRightInd/>
              <w:spacing w:line="240" w:lineRule="auto"/>
              <w:jc w:val="center"/>
              <w:rPr>
                <w:rFonts w:hint="eastAsia" w:ascii="宋体" w:hAnsi="宋体" w:eastAsia="宋体"/>
                <w:sz w:val="18"/>
                <w:szCs w:val="18"/>
                <w:lang w:eastAsia="zh-CN"/>
              </w:rPr>
            </w:pPr>
            <w:r>
              <w:rPr>
                <w:rFonts w:hint="eastAsia" w:ascii="宋体" w:hAnsi="宋体"/>
                <w:sz w:val="18"/>
                <w:szCs w:val="18"/>
              </w:rPr>
              <w:t>≥</w:t>
            </w:r>
            <w:r>
              <w:rPr>
                <w:rFonts w:ascii="宋体" w:hAnsi="宋体"/>
                <w:sz w:val="18"/>
                <w:szCs w:val="18"/>
              </w:rPr>
              <w:t>98</w:t>
            </w:r>
            <w:r>
              <w:rPr>
                <w:rFonts w:hint="eastAsia" w:ascii="宋体" w:hAnsi="宋体"/>
                <w:sz w:val="18"/>
                <w:szCs w:val="18"/>
                <w:lang w:eastAsia="zh-CN"/>
              </w:rPr>
              <w:t>%</w:t>
            </w:r>
          </w:p>
        </w:tc>
      </w:tr>
      <w:tr w14:paraId="70A2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254" w:type="dxa"/>
            <w:vAlign w:val="center"/>
          </w:tcPr>
          <w:p w14:paraId="14612D26">
            <w:pPr>
              <w:autoSpaceDE w:val="0"/>
              <w:autoSpaceDN w:val="0"/>
              <w:adjustRightInd/>
              <w:spacing w:line="240" w:lineRule="auto"/>
              <w:jc w:val="center"/>
              <w:rPr>
                <w:rFonts w:hint="eastAsia" w:ascii="宋体" w:hAnsi="宋体"/>
                <w:sz w:val="18"/>
                <w:szCs w:val="18"/>
              </w:rPr>
            </w:pPr>
            <w:r>
              <w:rPr>
                <w:rFonts w:hint="eastAsia" w:ascii="宋体" w:hAnsi="宋体"/>
                <w:sz w:val="18"/>
                <w:szCs w:val="18"/>
              </w:rPr>
              <w:t>产品合格率</w:t>
            </w:r>
          </w:p>
        </w:tc>
        <w:tc>
          <w:tcPr>
            <w:tcW w:w="3254" w:type="dxa"/>
            <w:vAlign w:val="center"/>
          </w:tcPr>
          <w:p w14:paraId="65BA7750">
            <w:pPr>
              <w:autoSpaceDE w:val="0"/>
              <w:autoSpaceDN w:val="0"/>
              <w:adjustRightInd/>
              <w:spacing w:line="240" w:lineRule="auto"/>
              <w:jc w:val="center"/>
              <w:rPr>
                <w:rFonts w:hint="eastAsia" w:ascii="宋体" w:hAnsi="宋体" w:eastAsia="宋体"/>
                <w:sz w:val="18"/>
                <w:szCs w:val="18"/>
                <w:lang w:eastAsia="zh-CN"/>
              </w:rPr>
            </w:pPr>
            <w:r>
              <w:rPr>
                <w:rFonts w:hint="eastAsia" w:ascii="宋体" w:hAnsi="宋体"/>
                <w:sz w:val="18"/>
                <w:szCs w:val="18"/>
              </w:rPr>
              <w:t>≥95</w:t>
            </w:r>
            <w:r>
              <w:rPr>
                <w:rFonts w:hint="eastAsia" w:ascii="宋体" w:hAnsi="宋体"/>
                <w:sz w:val="18"/>
                <w:szCs w:val="18"/>
                <w:lang w:eastAsia="zh-CN"/>
              </w:rPr>
              <w:t>%</w:t>
            </w:r>
          </w:p>
        </w:tc>
      </w:tr>
      <w:tr w14:paraId="11A2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254" w:type="dxa"/>
            <w:vAlign w:val="center"/>
          </w:tcPr>
          <w:p w14:paraId="1CEE0D16">
            <w:pPr>
              <w:autoSpaceDE w:val="0"/>
              <w:autoSpaceDN w:val="0"/>
              <w:adjustRightInd/>
              <w:spacing w:line="240" w:lineRule="auto"/>
              <w:jc w:val="center"/>
              <w:rPr>
                <w:rFonts w:hint="eastAsia" w:ascii="宋体" w:hAnsi="宋体"/>
                <w:sz w:val="18"/>
                <w:szCs w:val="18"/>
              </w:rPr>
            </w:pPr>
            <w:r>
              <w:rPr>
                <w:rFonts w:hint="eastAsia" w:ascii="宋体" w:hAnsi="宋体"/>
                <w:sz w:val="18"/>
                <w:szCs w:val="18"/>
              </w:rPr>
              <w:t>使用有效度</w:t>
            </w:r>
          </w:p>
        </w:tc>
        <w:tc>
          <w:tcPr>
            <w:tcW w:w="3254" w:type="dxa"/>
            <w:vAlign w:val="center"/>
          </w:tcPr>
          <w:p w14:paraId="314EE7F0">
            <w:pPr>
              <w:autoSpaceDE w:val="0"/>
              <w:autoSpaceDN w:val="0"/>
              <w:adjustRightInd/>
              <w:spacing w:line="240" w:lineRule="auto"/>
              <w:jc w:val="center"/>
              <w:rPr>
                <w:rFonts w:hint="eastAsia" w:ascii="宋体" w:hAnsi="宋体" w:eastAsia="宋体"/>
                <w:sz w:val="18"/>
                <w:szCs w:val="18"/>
                <w:lang w:eastAsia="zh-CN"/>
              </w:rPr>
            </w:pPr>
            <w:r>
              <w:rPr>
                <w:rFonts w:hint="eastAsia" w:ascii="宋体" w:hAnsi="宋体"/>
                <w:sz w:val="18"/>
                <w:szCs w:val="18"/>
              </w:rPr>
              <w:t>≥95</w:t>
            </w:r>
            <w:r>
              <w:rPr>
                <w:rFonts w:hint="eastAsia" w:ascii="宋体" w:hAnsi="宋体"/>
                <w:sz w:val="18"/>
                <w:szCs w:val="18"/>
                <w:lang w:eastAsia="zh-CN"/>
              </w:rPr>
              <w:t>%</w:t>
            </w:r>
          </w:p>
        </w:tc>
      </w:tr>
      <w:tr w14:paraId="307C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254" w:type="dxa"/>
            <w:vAlign w:val="center"/>
          </w:tcPr>
          <w:p w14:paraId="4F9C3066">
            <w:pPr>
              <w:autoSpaceDE w:val="0"/>
              <w:autoSpaceDN w:val="0"/>
              <w:adjustRightInd/>
              <w:spacing w:line="240" w:lineRule="auto"/>
              <w:jc w:val="center"/>
              <w:rPr>
                <w:rFonts w:hint="eastAsia" w:ascii="宋体" w:hAnsi="宋体"/>
                <w:sz w:val="18"/>
                <w:szCs w:val="18"/>
              </w:rPr>
            </w:pPr>
            <w:r>
              <w:rPr>
                <w:rFonts w:hint="eastAsia" w:hAnsi="宋体" w:cs="宋体"/>
                <w:color w:val="000000" w:themeColor="text1"/>
                <w:sz w:val="18"/>
                <w:szCs w:val="18"/>
                <w14:textFill>
                  <w14:solidFill>
                    <w14:schemeClr w14:val="tx1"/>
                  </w14:solidFill>
                </w14:textFill>
              </w:rPr>
              <w:t>工作噪声</w:t>
            </w:r>
          </w:p>
        </w:tc>
        <w:tc>
          <w:tcPr>
            <w:tcW w:w="3254" w:type="dxa"/>
            <w:vAlign w:val="center"/>
          </w:tcPr>
          <w:p w14:paraId="16DB5D1B">
            <w:pPr>
              <w:autoSpaceDE w:val="0"/>
              <w:autoSpaceDN w:val="0"/>
              <w:adjustRightInd/>
              <w:spacing w:line="240" w:lineRule="auto"/>
              <w:jc w:val="center"/>
              <w:rPr>
                <w:rFonts w:hint="eastAsia" w:ascii="宋体" w:hAnsi="宋体"/>
                <w:sz w:val="18"/>
                <w:szCs w:val="18"/>
              </w:rPr>
            </w:pPr>
            <w:bookmarkStart w:id="508" w:name="_Hlk204354894"/>
            <w:r>
              <w:rPr>
                <w:rFonts w:hint="eastAsia" w:ascii="宋体" w:hAnsi="宋体"/>
                <w:sz w:val="18"/>
                <w:szCs w:val="18"/>
              </w:rPr>
              <w:t>≤85</w:t>
            </w:r>
            <w:r>
              <w:rPr>
                <w:rFonts w:hint="eastAsia" w:hAnsi="宋体" w:cs="宋体"/>
                <w:color w:val="000000" w:themeColor="text1"/>
                <w:sz w:val="18"/>
                <w:szCs w:val="18"/>
                <w14:textFill>
                  <w14:solidFill>
                    <w14:schemeClr w14:val="tx1"/>
                  </w14:solidFill>
                </w14:textFill>
              </w:rPr>
              <w:t xml:space="preserve"> </w:t>
            </w:r>
            <w:r>
              <w:rPr>
                <w:rFonts w:ascii="宋体" w:hAnsi="宋体"/>
                <w:sz w:val="18"/>
                <w:szCs w:val="18"/>
              </w:rPr>
              <w:t>dB(A)</w:t>
            </w:r>
            <w:bookmarkEnd w:id="508"/>
          </w:p>
        </w:tc>
      </w:tr>
    </w:tbl>
    <w:p w14:paraId="13F2F84B">
      <w:pPr>
        <w:pStyle w:val="114"/>
        <w:numPr>
          <w:ilvl w:val="3"/>
          <w:numId w:val="35"/>
        </w:numPr>
        <w:spacing w:beforeLines="0" w:afterLines="0"/>
        <w:outlineLvl w:val="2"/>
        <w:rPr>
          <w:rFonts w:hint="eastAsia" w:ascii="宋体" w:hAnsi="宋体" w:eastAsia="宋体" w:cs="宋体"/>
          <w:color w:val="000000" w:themeColor="text1"/>
          <w:szCs w:val="21"/>
          <w14:textFill>
            <w14:solidFill>
              <w14:schemeClr w14:val="tx1"/>
            </w14:solidFill>
          </w14:textFill>
        </w:rPr>
      </w:pPr>
      <w:bookmarkStart w:id="509" w:name="_Toc204068470"/>
      <w:bookmarkStart w:id="510" w:name="_Toc204448583"/>
      <w:r>
        <w:rPr>
          <w:rFonts w:hint="eastAsia" w:ascii="宋体" w:hAnsi="宋体" w:eastAsia="宋体" w:cs="宋体"/>
          <w:szCs w:val="21"/>
        </w:rPr>
        <w:t>成套设备运转应平稳，启动应灵活，动作应可靠，无卡塞、阻滞、异常噪音和异常发热现象</w:t>
      </w:r>
      <w:r>
        <w:rPr>
          <w:rFonts w:hint="eastAsia" w:ascii="宋体" w:hAnsi="宋体" w:eastAsia="宋体" w:cs="宋体"/>
          <w:color w:val="000000" w:themeColor="text1"/>
          <w:szCs w:val="21"/>
          <w14:textFill>
            <w14:solidFill>
              <w14:schemeClr w14:val="tx1"/>
            </w14:solidFill>
          </w14:textFill>
        </w:rPr>
        <w:t>。</w:t>
      </w:r>
      <w:bookmarkEnd w:id="509"/>
      <w:bookmarkEnd w:id="510"/>
    </w:p>
    <w:p w14:paraId="24CA3FFE">
      <w:pPr>
        <w:pStyle w:val="114"/>
        <w:numPr>
          <w:ilvl w:val="3"/>
          <w:numId w:val="35"/>
        </w:numPr>
        <w:spacing w:beforeLines="0" w:afterLines="0"/>
        <w:outlineLvl w:val="2"/>
        <w:rPr>
          <w:rFonts w:hint="eastAsia" w:ascii="宋体" w:hAnsi="宋体" w:eastAsia="宋体" w:cs="宋体"/>
          <w:color w:val="000000" w:themeColor="text1"/>
          <w:szCs w:val="21"/>
          <w14:textFill>
            <w14:solidFill>
              <w14:schemeClr w14:val="tx1"/>
            </w14:solidFill>
          </w14:textFill>
        </w:rPr>
      </w:pPr>
      <w:bookmarkStart w:id="511" w:name="_Toc204068471"/>
      <w:bookmarkStart w:id="512" w:name="_Toc204448584"/>
      <w:r>
        <w:rPr>
          <w:rFonts w:hint="eastAsia" w:ascii="宋体" w:hAnsi="宋体" w:eastAsia="宋体" w:cs="宋体"/>
          <w:color w:val="000000" w:themeColor="text1"/>
          <w:szCs w:val="21"/>
          <w14:textFill>
            <w14:solidFill>
              <w14:schemeClr w14:val="tx1"/>
            </w14:solidFill>
          </w14:textFill>
        </w:rPr>
        <w:t>成套设备各单机衔接应准确，无漏料现象。</w:t>
      </w:r>
      <w:bookmarkEnd w:id="511"/>
      <w:bookmarkEnd w:id="512"/>
    </w:p>
    <w:p w14:paraId="4050C80E">
      <w:pPr>
        <w:pStyle w:val="114"/>
        <w:numPr>
          <w:ilvl w:val="3"/>
          <w:numId w:val="35"/>
        </w:numPr>
        <w:spacing w:beforeLines="0" w:afterLines="0"/>
        <w:outlineLvl w:val="2"/>
        <w:rPr>
          <w:rFonts w:hint="eastAsia" w:ascii="宋体" w:hAnsi="宋体" w:eastAsia="宋体" w:cs="宋体"/>
          <w:color w:val="000000" w:themeColor="text1"/>
          <w:szCs w:val="21"/>
          <w14:textFill>
            <w14:solidFill>
              <w14:schemeClr w14:val="tx1"/>
            </w14:solidFill>
          </w14:textFill>
        </w:rPr>
      </w:pPr>
      <w:bookmarkStart w:id="513" w:name="_Toc204068472"/>
      <w:bookmarkStart w:id="514" w:name="_Toc204448585"/>
      <w:r>
        <w:rPr>
          <w:rFonts w:hint="eastAsia" w:ascii="宋体" w:hAnsi="宋体" w:eastAsia="宋体" w:cs="宋体"/>
          <w:color w:val="000000" w:themeColor="text1"/>
          <w:szCs w:val="21"/>
          <w14:textFill>
            <w14:solidFill>
              <w14:schemeClr w14:val="tx1"/>
            </w14:solidFill>
          </w14:textFill>
        </w:rPr>
        <w:t>成套设备应具有负载启动能力和过载保护措施。</w:t>
      </w:r>
      <w:bookmarkEnd w:id="513"/>
      <w:bookmarkEnd w:id="514"/>
    </w:p>
    <w:p w14:paraId="7DCF3AB5">
      <w:pPr>
        <w:pStyle w:val="114"/>
        <w:numPr>
          <w:ilvl w:val="3"/>
          <w:numId w:val="35"/>
        </w:numPr>
        <w:spacing w:beforeLines="0" w:afterLines="0"/>
        <w:outlineLvl w:val="2"/>
        <w:rPr>
          <w:rFonts w:hint="eastAsia" w:ascii="宋体" w:hAnsi="宋体" w:eastAsia="宋体" w:cs="宋体"/>
          <w:color w:val="000000" w:themeColor="text1"/>
          <w:szCs w:val="21"/>
          <w14:textFill>
            <w14:solidFill>
              <w14:schemeClr w14:val="tx1"/>
            </w14:solidFill>
          </w14:textFill>
        </w:rPr>
      </w:pPr>
      <w:bookmarkStart w:id="515" w:name="_Toc204448586"/>
      <w:bookmarkStart w:id="516" w:name="_Toc204068473"/>
      <w:r>
        <w:rPr>
          <w:rFonts w:hint="eastAsia" w:ascii="宋体" w:hAnsi="宋体" w:eastAsia="宋体" w:cs="宋体"/>
          <w:color w:val="000000" w:themeColor="text1"/>
          <w:szCs w:val="21"/>
          <w14:textFill>
            <w14:solidFill>
              <w14:schemeClr w14:val="tx1"/>
            </w14:solidFill>
          </w14:textFill>
        </w:rPr>
        <w:t>成套设备工作噪声大于规定要求的位置应采取噪声隔离措施。</w:t>
      </w:r>
      <w:bookmarkEnd w:id="515"/>
      <w:bookmarkEnd w:id="516"/>
    </w:p>
    <w:bookmarkEnd w:id="501"/>
    <w:p w14:paraId="63F46715">
      <w:pPr>
        <w:pStyle w:val="268"/>
        <w:numPr>
          <w:ilvl w:val="1"/>
          <w:numId w:val="35"/>
        </w:numPr>
        <w:spacing w:before="240" w:after="240" w:line="240" w:lineRule="auto"/>
        <w:jc w:val="both"/>
        <w:rPr>
          <w:rFonts w:hint="eastAsia"/>
        </w:rPr>
      </w:pPr>
      <w:bookmarkStart w:id="517" w:name="_Toc196411915"/>
      <w:bookmarkEnd w:id="517"/>
      <w:bookmarkStart w:id="518" w:name="_Toc12330"/>
      <w:bookmarkStart w:id="519" w:name="_Toc2108"/>
      <w:bookmarkStart w:id="520" w:name="_Toc196411919"/>
      <w:bookmarkStart w:id="521" w:name="_Toc9759"/>
      <w:bookmarkStart w:id="522" w:name="_Toc6510"/>
      <w:bookmarkStart w:id="523" w:name="_Toc20558"/>
      <w:bookmarkStart w:id="524" w:name="_Hlk107127502"/>
      <w:r>
        <w:rPr>
          <w:rFonts w:hint="eastAsia"/>
        </w:rPr>
        <w:t>试验方法</w:t>
      </w:r>
      <w:bookmarkEnd w:id="518"/>
      <w:bookmarkEnd w:id="519"/>
      <w:bookmarkEnd w:id="520"/>
      <w:bookmarkEnd w:id="521"/>
      <w:bookmarkEnd w:id="522"/>
      <w:bookmarkEnd w:id="523"/>
    </w:p>
    <w:bookmarkEnd w:id="409"/>
    <w:bookmarkEnd w:id="410"/>
    <w:bookmarkEnd w:id="411"/>
    <w:bookmarkEnd w:id="412"/>
    <w:bookmarkEnd w:id="413"/>
    <w:bookmarkEnd w:id="414"/>
    <w:bookmarkEnd w:id="415"/>
    <w:bookmarkEnd w:id="416"/>
    <w:bookmarkEnd w:id="524"/>
    <w:p w14:paraId="10A1DE0F">
      <w:pPr>
        <w:pStyle w:val="114"/>
        <w:numPr>
          <w:ilvl w:val="2"/>
          <w:numId w:val="35"/>
        </w:numPr>
        <w:spacing w:before="120" w:after="120"/>
        <w:rPr>
          <w:rFonts w:hint="eastAsia" w:hAnsi="黑体"/>
          <w:szCs w:val="21"/>
        </w:rPr>
      </w:pPr>
      <w:bookmarkStart w:id="525" w:name="_Toc77186063"/>
      <w:bookmarkStart w:id="526" w:name="_Toc94259954"/>
      <w:bookmarkStart w:id="527" w:name="_Toc85527769"/>
      <w:bookmarkStart w:id="528" w:name="_Toc1904"/>
      <w:bookmarkStart w:id="529" w:name="_Toc14839"/>
      <w:bookmarkStart w:id="530" w:name="_Toc24536"/>
      <w:bookmarkStart w:id="531" w:name="_Toc196411920"/>
      <w:bookmarkStart w:id="532" w:name="_Toc12084"/>
      <w:bookmarkStart w:id="533" w:name="_Toc12953"/>
      <w:bookmarkStart w:id="534" w:name="_Hlk107127527"/>
      <w:r>
        <w:rPr>
          <w:rFonts w:hint="eastAsia" w:hAnsi="黑体"/>
          <w:szCs w:val="21"/>
        </w:rPr>
        <w:t>试验条件</w:t>
      </w:r>
      <w:bookmarkEnd w:id="525"/>
      <w:bookmarkEnd w:id="526"/>
      <w:bookmarkEnd w:id="527"/>
      <w:bookmarkEnd w:id="528"/>
      <w:bookmarkEnd w:id="529"/>
      <w:bookmarkEnd w:id="530"/>
      <w:bookmarkEnd w:id="531"/>
      <w:bookmarkEnd w:id="532"/>
      <w:bookmarkEnd w:id="533"/>
    </w:p>
    <w:p w14:paraId="4931EDF4">
      <w:pPr>
        <w:numPr>
          <w:ilvl w:val="3"/>
          <w:numId w:val="38"/>
        </w:numPr>
        <w:adjustRightInd/>
        <w:spacing w:line="240" w:lineRule="auto"/>
        <w:jc w:val="both"/>
        <w:outlineLvl w:val="2"/>
        <w:rPr>
          <w:rFonts w:hint="eastAsia" w:ascii="宋体" w:hAnsi="宋体" w:cs="宋体"/>
        </w:rPr>
      </w:pPr>
      <w:r>
        <w:rPr>
          <w:rFonts w:hint="eastAsia" w:ascii="宋体" w:hAnsi="宋体" w:cs="宋体"/>
        </w:rPr>
        <w:t>试验环境温度为5 ℃</w:t>
      </w:r>
      <w:r>
        <w:rPr>
          <w:rFonts w:hint="eastAsia" w:ascii="宋体" w:hAnsi="宋体" w:cs="宋体"/>
          <w:kern w:val="0"/>
        </w:rPr>
        <w:t>～</w:t>
      </w:r>
      <w:r>
        <w:rPr>
          <w:rFonts w:hint="eastAsia" w:ascii="宋体" w:hAnsi="宋体" w:cs="宋体"/>
        </w:rPr>
        <w:t>35 ℃。</w:t>
      </w:r>
    </w:p>
    <w:p w14:paraId="6973C9B3">
      <w:pPr>
        <w:numPr>
          <w:ilvl w:val="3"/>
          <w:numId w:val="38"/>
        </w:numPr>
        <w:adjustRightInd/>
        <w:spacing w:line="240" w:lineRule="auto"/>
        <w:jc w:val="both"/>
        <w:outlineLvl w:val="2"/>
        <w:rPr>
          <w:rFonts w:hint="eastAsia" w:ascii="宋体" w:hAnsi="宋体" w:cs="宋体"/>
        </w:rPr>
      </w:pPr>
      <w:r>
        <w:rPr>
          <w:rFonts w:hint="eastAsia" w:ascii="宋体" w:hAnsi="宋体" w:cs="宋体"/>
        </w:rPr>
        <w:t>试验相对湿度不应大于70</w:t>
      </w:r>
      <w:r>
        <w:rPr>
          <w:rFonts w:hint="eastAsia" w:ascii="宋体" w:hAnsi="宋体" w:cs="宋体"/>
          <w:lang w:eastAsia="zh-CN"/>
        </w:rPr>
        <w:t>%</w:t>
      </w:r>
      <w:r>
        <w:rPr>
          <w:rFonts w:hint="eastAsia" w:ascii="宋体" w:hAnsi="宋体" w:cs="宋体"/>
        </w:rPr>
        <w:t>。</w:t>
      </w:r>
    </w:p>
    <w:p w14:paraId="6425B014">
      <w:pPr>
        <w:numPr>
          <w:ilvl w:val="3"/>
          <w:numId w:val="38"/>
        </w:numPr>
        <w:adjustRightInd/>
        <w:spacing w:line="240" w:lineRule="auto"/>
        <w:jc w:val="both"/>
        <w:outlineLvl w:val="2"/>
        <w:rPr>
          <w:rFonts w:hint="eastAsia" w:ascii="宋体" w:hAnsi="宋体" w:cs="宋体"/>
        </w:rPr>
      </w:pPr>
      <w:r>
        <w:rPr>
          <w:rFonts w:hint="eastAsia" w:ascii="宋体" w:hAnsi="宋体" w:cs="宋体"/>
        </w:rPr>
        <w:t>海拔不应大于1000 m。</w:t>
      </w:r>
    </w:p>
    <w:p w14:paraId="3A33E247">
      <w:pPr>
        <w:numPr>
          <w:ilvl w:val="3"/>
          <w:numId w:val="38"/>
        </w:numPr>
        <w:adjustRightInd/>
        <w:spacing w:line="240" w:lineRule="auto"/>
        <w:jc w:val="both"/>
        <w:outlineLvl w:val="2"/>
        <w:rPr>
          <w:rFonts w:hint="eastAsia" w:ascii="宋体" w:hAnsi="宋体" w:cs="宋体"/>
        </w:rPr>
      </w:pPr>
      <w:r>
        <w:rPr>
          <w:rFonts w:hint="eastAsia" w:ascii="宋体" w:hAnsi="宋体" w:cs="宋体"/>
        </w:rPr>
        <w:t>生产用水：应符合GB 5749的规定。</w:t>
      </w:r>
    </w:p>
    <w:p w14:paraId="673B91B4">
      <w:pPr>
        <w:numPr>
          <w:ilvl w:val="3"/>
          <w:numId w:val="38"/>
        </w:numPr>
        <w:adjustRightInd/>
        <w:spacing w:line="240" w:lineRule="auto"/>
        <w:jc w:val="both"/>
        <w:outlineLvl w:val="2"/>
        <w:rPr>
          <w:rFonts w:hint="eastAsia" w:ascii="宋体" w:hAnsi="宋体" w:cs="宋体"/>
        </w:rPr>
      </w:pPr>
      <w:r>
        <w:rPr>
          <w:rFonts w:hint="eastAsia" w:ascii="宋体" w:hAnsi="宋体" w:cs="宋体"/>
        </w:rPr>
        <w:t>试验用料：应</w:t>
      </w:r>
      <w:bookmarkStart w:id="535" w:name="_Hlk114584586"/>
      <w:r>
        <w:rPr>
          <w:rFonts w:hint="eastAsia" w:ascii="宋体" w:hAnsi="宋体" w:cs="宋体"/>
        </w:rPr>
        <w:t>符合GB/T 31784规定</w:t>
      </w:r>
      <w:bookmarkEnd w:id="535"/>
      <w:r>
        <w:rPr>
          <w:rFonts w:hint="eastAsia" w:ascii="宋体" w:hAnsi="宋体" w:cs="宋体"/>
        </w:rPr>
        <w:t>的马铃薯。</w:t>
      </w:r>
    </w:p>
    <w:p w14:paraId="20524C65">
      <w:pPr>
        <w:numPr>
          <w:ilvl w:val="3"/>
          <w:numId w:val="38"/>
        </w:numPr>
        <w:adjustRightInd/>
        <w:spacing w:line="240" w:lineRule="auto"/>
        <w:jc w:val="both"/>
        <w:outlineLvl w:val="2"/>
        <w:rPr>
          <w:rFonts w:hint="eastAsia" w:ascii="宋体" w:hAnsi="宋体" w:cs="宋体"/>
        </w:rPr>
      </w:pPr>
      <w:r>
        <w:rPr>
          <w:rFonts w:hint="eastAsia" w:ascii="宋体" w:hAnsi="宋体" w:cs="宋体"/>
          <w:color w:val="000000" w:themeColor="text1"/>
          <w14:textFill>
            <w14:solidFill>
              <w14:schemeClr w14:val="tx1"/>
            </w14:solidFill>
          </w14:textFill>
        </w:rPr>
        <w:t>设备应满足空载和负载试验条件。</w:t>
      </w:r>
    </w:p>
    <w:bookmarkEnd w:id="534"/>
    <w:p w14:paraId="0F829E40">
      <w:pPr>
        <w:pStyle w:val="114"/>
        <w:numPr>
          <w:ilvl w:val="2"/>
          <w:numId w:val="38"/>
        </w:numPr>
        <w:spacing w:before="120" w:after="120"/>
        <w:rPr>
          <w:szCs w:val="21"/>
        </w:rPr>
      </w:pPr>
      <w:bookmarkStart w:id="536" w:name="_Toc19132"/>
      <w:bookmarkStart w:id="537" w:name="_Toc2659"/>
      <w:bookmarkStart w:id="538" w:name="_Toc28033"/>
      <w:bookmarkStart w:id="539" w:name="_Toc196411922"/>
      <w:bookmarkStart w:id="540" w:name="_Toc18604"/>
      <w:bookmarkStart w:id="541" w:name="_Toc23377"/>
      <w:bookmarkStart w:id="542" w:name="_Toc94259955"/>
      <w:bookmarkStart w:id="543" w:name="_Hlk107127559"/>
      <w:bookmarkStart w:id="544" w:name="_Toc77186064"/>
      <w:bookmarkStart w:id="545" w:name="_Toc85527770"/>
      <w:r>
        <w:rPr>
          <w:rFonts w:hint="eastAsia"/>
          <w:szCs w:val="21"/>
        </w:rPr>
        <w:t>材料要求检查</w:t>
      </w:r>
      <w:bookmarkEnd w:id="536"/>
      <w:bookmarkEnd w:id="537"/>
      <w:bookmarkEnd w:id="538"/>
      <w:bookmarkEnd w:id="539"/>
      <w:bookmarkEnd w:id="540"/>
      <w:bookmarkEnd w:id="541"/>
    </w:p>
    <w:bookmarkEnd w:id="542"/>
    <w:bookmarkEnd w:id="543"/>
    <w:p w14:paraId="41885C2C">
      <w:pPr>
        <w:pStyle w:val="65"/>
        <w:ind w:firstLine="420"/>
        <w:rPr>
          <w:rFonts w:hint="eastAsia" w:hAnsi="宋体" w:cs="宋体"/>
          <w:color w:val="000000" w:themeColor="text1"/>
          <w:szCs w:val="21"/>
          <w14:textFill>
            <w14:solidFill>
              <w14:schemeClr w14:val="tx1"/>
            </w14:solidFill>
          </w14:textFill>
        </w:rPr>
      </w:pPr>
      <w:bookmarkStart w:id="546" w:name="_Toc196411924"/>
      <w:bookmarkStart w:id="547" w:name="_Toc196300181"/>
      <w:bookmarkStart w:id="548" w:name="_Toc204448591"/>
      <w:r>
        <w:rPr>
          <w:rFonts w:hint="eastAsia" w:hAnsi="宋体" w:cs="宋体"/>
          <w:kern w:val="2"/>
          <w:szCs w:val="21"/>
        </w:rPr>
        <w:t>检查成套设备材质报告单及质量合格证明书。</w:t>
      </w:r>
      <w:bookmarkEnd w:id="546"/>
      <w:bookmarkEnd w:id="547"/>
      <w:bookmarkEnd w:id="548"/>
    </w:p>
    <w:p w14:paraId="5B58721D">
      <w:pPr>
        <w:pStyle w:val="114"/>
        <w:numPr>
          <w:ilvl w:val="2"/>
          <w:numId w:val="38"/>
        </w:numPr>
        <w:spacing w:before="120" w:after="120"/>
        <w:rPr>
          <w:rFonts w:hint="eastAsia" w:hAnsi="黑体" w:cs="宋体"/>
        </w:rPr>
      </w:pPr>
      <w:bookmarkStart w:id="549" w:name="_Toc12193"/>
      <w:bookmarkStart w:id="550" w:name="_Toc196411930"/>
      <w:bookmarkStart w:id="551" w:name="_Toc19357"/>
      <w:bookmarkStart w:id="552" w:name="_Toc24799"/>
      <w:bookmarkStart w:id="553" w:name="_Toc27231"/>
      <w:bookmarkStart w:id="554" w:name="_Toc94259956"/>
      <w:bookmarkStart w:id="555" w:name="_Toc25105"/>
      <w:r>
        <w:rPr>
          <w:rFonts w:hint="eastAsia" w:hAnsi="黑体" w:cs="宋体"/>
          <w:szCs w:val="21"/>
        </w:rPr>
        <w:t>加工要求检查</w:t>
      </w:r>
      <w:bookmarkEnd w:id="549"/>
      <w:bookmarkEnd w:id="550"/>
      <w:bookmarkEnd w:id="551"/>
      <w:bookmarkEnd w:id="552"/>
      <w:bookmarkEnd w:id="553"/>
      <w:bookmarkEnd w:id="554"/>
      <w:bookmarkEnd w:id="555"/>
    </w:p>
    <w:p w14:paraId="2A2C40D2">
      <w:pPr>
        <w:pStyle w:val="114"/>
        <w:numPr>
          <w:ilvl w:val="3"/>
          <w:numId w:val="38"/>
        </w:numPr>
        <w:spacing w:beforeLines="0" w:afterLines="0"/>
        <w:outlineLvl w:val="2"/>
        <w:rPr>
          <w:rFonts w:hint="eastAsia" w:ascii="宋体" w:hAnsi="宋体" w:eastAsia="宋体" w:cs="宋体"/>
        </w:rPr>
      </w:pPr>
      <w:bookmarkStart w:id="556" w:name="_Toc196300187"/>
      <w:bookmarkStart w:id="557" w:name="_Toc204448593"/>
      <w:bookmarkStart w:id="558" w:name="_Toc196411931"/>
      <w:r>
        <w:rPr>
          <w:rFonts w:hint="eastAsia" w:ascii="宋体" w:hAnsi="宋体" w:eastAsia="宋体" w:cs="宋体"/>
          <w:color w:val="000000"/>
          <w:szCs w:val="21"/>
        </w:rPr>
        <w:t>按SB/T 223的规定</w:t>
      </w:r>
      <w:r>
        <w:rPr>
          <w:rFonts w:hint="eastAsia" w:ascii="宋体" w:hAnsi="宋体" w:eastAsia="宋体" w:cs="宋体"/>
          <w:szCs w:val="24"/>
        </w:rPr>
        <w:t>检查零部件的机械加工质量。</w:t>
      </w:r>
      <w:bookmarkEnd w:id="556"/>
      <w:bookmarkEnd w:id="557"/>
      <w:bookmarkEnd w:id="558"/>
    </w:p>
    <w:p w14:paraId="26C4E5A6">
      <w:pPr>
        <w:pStyle w:val="114"/>
        <w:numPr>
          <w:ilvl w:val="3"/>
          <w:numId w:val="38"/>
        </w:numPr>
        <w:spacing w:beforeLines="0" w:afterLines="0"/>
        <w:outlineLvl w:val="2"/>
        <w:rPr>
          <w:rFonts w:hint="eastAsia" w:ascii="宋体" w:hAnsi="宋体" w:eastAsia="宋体" w:cs="宋体"/>
        </w:rPr>
      </w:pPr>
      <w:bookmarkStart w:id="559" w:name="_Toc204448594"/>
      <w:bookmarkStart w:id="560" w:name="_Toc196411932"/>
      <w:bookmarkStart w:id="561" w:name="_Toc196300188"/>
      <w:r>
        <w:rPr>
          <w:rFonts w:hint="eastAsia" w:ascii="宋体" w:hAnsi="宋体" w:eastAsia="宋体" w:cs="宋体"/>
          <w:color w:val="000000"/>
          <w:szCs w:val="21"/>
        </w:rPr>
        <w:t>按SB/T 225的规定</w:t>
      </w:r>
      <w:r>
        <w:rPr>
          <w:rFonts w:hint="eastAsia" w:ascii="宋体" w:hAnsi="宋体" w:eastAsia="宋体" w:cs="宋体"/>
        </w:rPr>
        <w:t>检查成套设备铸件质量。</w:t>
      </w:r>
      <w:bookmarkEnd w:id="559"/>
      <w:bookmarkEnd w:id="560"/>
      <w:bookmarkEnd w:id="561"/>
    </w:p>
    <w:p w14:paraId="7E73A7F0">
      <w:pPr>
        <w:pStyle w:val="114"/>
        <w:numPr>
          <w:ilvl w:val="3"/>
          <w:numId w:val="38"/>
        </w:numPr>
        <w:spacing w:beforeLines="0" w:afterLines="0"/>
        <w:outlineLvl w:val="2"/>
        <w:rPr>
          <w:rFonts w:hint="eastAsia" w:ascii="宋体" w:hAnsi="宋体" w:eastAsia="宋体" w:cs="宋体"/>
        </w:rPr>
      </w:pPr>
      <w:bookmarkStart w:id="562" w:name="_Toc196411933"/>
      <w:bookmarkStart w:id="563" w:name="_Toc196300189"/>
      <w:bookmarkStart w:id="564" w:name="_Toc204448595"/>
      <w:r>
        <w:rPr>
          <w:rFonts w:hint="eastAsia" w:ascii="宋体" w:hAnsi="宋体" w:eastAsia="宋体" w:cs="宋体"/>
        </w:rPr>
        <w:t>按</w:t>
      </w:r>
      <w:r>
        <w:rPr>
          <w:rFonts w:hint="eastAsia" w:ascii="宋体" w:hAnsi="宋体" w:eastAsia="宋体" w:cs="宋体"/>
          <w:color w:val="000000"/>
          <w:szCs w:val="21"/>
        </w:rPr>
        <w:t>SB/T 226的规定检</w:t>
      </w:r>
      <w:r>
        <w:rPr>
          <w:rFonts w:hint="eastAsia" w:ascii="宋体" w:hAnsi="宋体" w:eastAsia="宋体" w:cs="宋体"/>
        </w:rPr>
        <w:t>查成套设备焊接件质量。</w:t>
      </w:r>
      <w:bookmarkEnd w:id="562"/>
      <w:bookmarkEnd w:id="563"/>
      <w:bookmarkEnd w:id="564"/>
    </w:p>
    <w:p w14:paraId="5FCEF7C0">
      <w:pPr>
        <w:pStyle w:val="114"/>
        <w:numPr>
          <w:ilvl w:val="3"/>
          <w:numId w:val="38"/>
        </w:numPr>
        <w:spacing w:beforeLines="0" w:afterLines="0"/>
        <w:outlineLvl w:val="2"/>
        <w:rPr>
          <w:rFonts w:hint="eastAsia" w:ascii="宋体" w:hAnsi="宋体" w:eastAsia="宋体" w:cs="宋体"/>
        </w:rPr>
      </w:pPr>
      <w:bookmarkStart w:id="565" w:name="_Toc196411934"/>
      <w:bookmarkStart w:id="566" w:name="_Toc196300190"/>
      <w:bookmarkStart w:id="567" w:name="_Toc28911"/>
      <w:bookmarkStart w:id="568" w:name="_Toc204448596"/>
      <w:bookmarkStart w:id="569" w:name="_Toc24365"/>
      <w:r>
        <w:rPr>
          <w:rFonts w:hint="eastAsia" w:ascii="宋体" w:hAnsi="宋体" w:eastAsia="宋体" w:cs="宋体"/>
        </w:rPr>
        <w:t>按SB/T 228的规定检查成套设备表面涂漆质量。</w:t>
      </w:r>
      <w:bookmarkEnd w:id="565"/>
      <w:bookmarkEnd w:id="566"/>
      <w:bookmarkEnd w:id="567"/>
      <w:bookmarkEnd w:id="568"/>
      <w:bookmarkEnd w:id="569"/>
    </w:p>
    <w:p w14:paraId="0614815E">
      <w:pPr>
        <w:pStyle w:val="114"/>
        <w:numPr>
          <w:ilvl w:val="2"/>
          <w:numId w:val="38"/>
        </w:numPr>
        <w:spacing w:before="120" w:after="120"/>
        <w:rPr>
          <w:rFonts w:hint="eastAsia" w:hAnsi="黑体" w:cs="宋体"/>
          <w:szCs w:val="21"/>
        </w:rPr>
      </w:pPr>
      <w:bookmarkStart w:id="570" w:name="_Toc32201"/>
      <w:bookmarkStart w:id="571" w:name="_Toc16006"/>
      <w:bookmarkStart w:id="572" w:name="_Toc62"/>
      <w:bookmarkStart w:id="573" w:name="_Toc16193"/>
      <w:bookmarkStart w:id="574" w:name="_Toc196411936"/>
      <w:bookmarkStart w:id="575" w:name="_Toc19335"/>
      <w:bookmarkStart w:id="576" w:name="_Toc9914"/>
      <w:bookmarkStart w:id="577" w:name="_Toc15370"/>
      <w:r>
        <w:rPr>
          <w:rFonts w:hint="eastAsia" w:hAnsi="黑体" w:cs="宋体"/>
          <w:szCs w:val="21"/>
        </w:rPr>
        <w:t>主要</w:t>
      </w:r>
      <w:bookmarkEnd w:id="570"/>
      <w:bookmarkEnd w:id="571"/>
      <w:r>
        <w:rPr>
          <w:rFonts w:hint="eastAsia" w:hAnsi="黑体" w:cs="宋体"/>
          <w:szCs w:val="21"/>
        </w:rPr>
        <w:t>单机和系统要求检查</w:t>
      </w:r>
      <w:bookmarkEnd w:id="572"/>
      <w:bookmarkEnd w:id="573"/>
      <w:bookmarkEnd w:id="574"/>
      <w:bookmarkEnd w:id="575"/>
      <w:bookmarkEnd w:id="576"/>
      <w:bookmarkEnd w:id="577"/>
    </w:p>
    <w:p w14:paraId="03B38160">
      <w:pPr>
        <w:pStyle w:val="114"/>
        <w:numPr>
          <w:ilvl w:val="3"/>
          <w:numId w:val="38"/>
        </w:numPr>
        <w:spacing w:before="120" w:beforeLines="0" w:after="120" w:afterLines="0"/>
        <w:outlineLvl w:val="2"/>
        <w:rPr>
          <w:rFonts w:hint="eastAsia" w:hAnsi="黑体" w:cs="宋体"/>
        </w:rPr>
      </w:pPr>
      <w:bookmarkStart w:id="578" w:name="_Toc204448598"/>
      <w:bookmarkStart w:id="579" w:name="_Toc196411939"/>
      <w:bookmarkStart w:id="580" w:name="_Toc196300194"/>
      <w:r>
        <w:rPr>
          <w:rFonts w:hint="eastAsia" w:hAnsi="黑体" w:cs="宋体"/>
        </w:rPr>
        <w:t>气动系统检查</w:t>
      </w:r>
      <w:bookmarkEnd w:id="578"/>
    </w:p>
    <w:p w14:paraId="628CBE3E">
      <w:pPr>
        <w:pStyle w:val="65"/>
        <w:ind w:firstLine="420"/>
        <w:rPr>
          <w:rFonts w:hint="eastAsia" w:hAnsi="宋体" w:cs="宋体"/>
          <w:szCs w:val="21"/>
        </w:rPr>
      </w:pPr>
      <w:r>
        <w:rPr>
          <w:rFonts w:hint="eastAsia" w:hAnsi="宋体" w:cs="宋体"/>
          <w:szCs w:val="21"/>
        </w:rPr>
        <w:t>按GB/T 7932的规定检查成套设备气动系统。</w:t>
      </w:r>
    </w:p>
    <w:p w14:paraId="77668BBD">
      <w:pPr>
        <w:pStyle w:val="114"/>
        <w:numPr>
          <w:ilvl w:val="3"/>
          <w:numId w:val="38"/>
        </w:numPr>
        <w:spacing w:before="120" w:beforeLines="0" w:after="120" w:afterLines="0"/>
        <w:outlineLvl w:val="2"/>
        <w:rPr>
          <w:rFonts w:hint="eastAsia" w:hAnsi="黑体" w:cs="宋体"/>
        </w:rPr>
      </w:pPr>
      <w:bookmarkStart w:id="581" w:name="_Toc204448599"/>
      <w:r>
        <w:rPr>
          <w:rFonts w:hint="eastAsia" w:hAnsi="黑体" w:cs="宋体"/>
        </w:rPr>
        <w:t>去皮设备检查</w:t>
      </w:r>
      <w:bookmarkEnd w:id="581"/>
    </w:p>
    <w:p w14:paraId="08377DF7">
      <w:pPr>
        <w:pStyle w:val="114"/>
        <w:numPr>
          <w:ilvl w:val="4"/>
          <w:numId w:val="38"/>
        </w:numPr>
        <w:spacing w:beforeLines="0" w:afterLines="0"/>
        <w:ind w:left="0"/>
        <w:outlineLvl w:val="3"/>
        <w:rPr>
          <w:rFonts w:hint="eastAsia" w:ascii="宋体" w:hAnsi="宋体" w:eastAsia="宋体" w:cs="宋体"/>
          <w:szCs w:val="21"/>
        </w:rPr>
      </w:pPr>
      <w:bookmarkStart w:id="582" w:name="_Toc204448600"/>
      <w:r>
        <w:rPr>
          <w:rFonts w:hint="eastAsia" w:ascii="宋体" w:hAnsi="宋体" w:eastAsia="宋体" w:cs="宋体"/>
          <w:szCs w:val="21"/>
        </w:rPr>
        <w:t>目测和触摸检查蒸汽去皮设备的防烫伤保护措施。</w:t>
      </w:r>
      <w:bookmarkEnd w:id="582"/>
    </w:p>
    <w:p w14:paraId="061D5202">
      <w:pPr>
        <w:pStyle w:val="114"/>
        <w:numPr>
          <w:ilvl w:val="4"/>
          <w:numId w:val="38"/>
        </w:numPr>
        <w:spacing w:beforeLines="0" w:afterLines="0"/>
        <w:ind w:left="0"/>
        <w:outlineLvl w:val="3"/>
        <w:rPr>
          <w:rFonts w:hint="eastAsia" w:ascii="宋体" w:hAnsi="宋体" w:eastAsia="宋体" w:cs="宋体"/>
          <w:szCs w:val="21"/>
        </w:rPr>
      </w:pPr>
      <w:bookmarkStart w:id="583" w:name="_Toc204448601"/>
      <w:r>
        <w:rPr>
          <w:rFonts w:hint="eastAsia" w:ascii="宋体" w:hAnsi="宋体" w:eastAsia="宋体" w:cs="宋体"/>
          <w:szCs w:val="21"/>
        </w:rPr>
        <w:t>去皮率试验：去皮设备正常运行时，随机抽取不少于50个经过去皮的马铃薯，按公式（1）计算去皮率，重复进行三次。</w:t>
      </w:r>
      <w:bookmarkEnd w:id="583"/>
    </w:p>
    <w:p w14:paraId="5B049A03">
      <w:pPr>
        <w:tabs>
          <w:tab w:val="center" w:leader="middleDot" w:pos="5250"/>
          <w:tab w:val="center" w:pos="31680"/>
        </w:tabs>
        <w:autoSpaceDE w:val="0"/>
        <w:autoSpaceDN w:val="0"/>
        <w:adjustRightInd/>
        <w:spacing w:line="240" w:lineRule="auto"/>
        <w:ind w:firstLine="420"/>
        <w:jc w:val="right"/>
        <w:rPr>
          <w:rFonts w:ascii="Times New Roman" w:hAnsi="Times New Roman"/>
          <w:kern w:val="0"/>
        </w:rPr>
      </w:pPr>
      <m:oMath>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den>
        </m:f>
        <m:r>
          <m:rPr/>
          <w:rPr>
            <w:rFonts w:ascii="Cambria Math" w:hAnsi="Cambria Math" w:cs="Cambria Math"/>
          </w:rPr>
          <m:t>×</m:t>
        </m:r>
        <m:r>
          <m:rPr/>
          <w:rPr>
            <w:rFonts w:hint="eastAsia" w:ascii="Cambria Math" w:hAnsi="Cambria Math"/>
          </w:rPr>
          <m:t>100%</m:t>
        </m:r>
      </m:oMath>
      <w:r>
        <w:rPr>
          <w:rFonts w:ascii="Times New Roman" w:hAnsi="Times New Roman"/>
          <w:i/>
          <w:color w:val="000000" w:themeColor="text1"/>
          <w14:textFill>
            <w14:solidFill>
              <w14:schemeClr w14:val="tx1"/>
            </w14:solidFill>
          </w14:textFill>
        </w:rPr>
        <w:tab/>
      </w:r>
      <w:r>
        <w:rPr>
          <w:rFonts w:hint="eastAsia" w:ascii="Times New Roman" w:hAnsi="Times New Roman"/>
        </w:rPr>
        <w:t>（1）</w:t>
      </w:r>
    </w:p>
    <w:p w14:paraId="5F9E4841">
      <w:pPr>
        <w:pStyle w:val="65"/>
        <w:ind w:firstLine="420"/>
        <w:rPr>
          <w:rFonts w:hint="eastAsia" w:hAnsi="宋体" w:cs="宋体"/>
          <w:szCs w:val="21"/>
        </w:rPr>
      </w:pPr>
      <w:r>
        <w:rPr>
          <w:rFonts w:hint="eastAsia" w:hAnsi="宋体" w:cs="宋体"/>
          <w:szCs w:val="21"/>
        </w:rPr>
        <w:t>式中：</w:t>
      </w:r>
    </w:p>
    <w:p w14:paraId="36DB87CD">
      <w:pPr>
        <w:pStyle w:val="65"/>
        <w:ind w:firstLine="420"/>
        <w:rPr>
          <w:rFonts w:hint="eastAsia" w:hAnsi="宋体" w:cs="宋体"/>
          <w:szCs w:val="21"/>
        </w:rPr>
      </w:pPr>
      <m:oMath>
        <m:sSub>
          <m:sSubPr>
            <m:ctrlPr>
              <w:rPr>
                <w:rFonts w:hint="eastAsia" w:ascii="Cambria Math" w:hAnsi="Cambria Math" w:cs="宋体"/>
                <w:i/>
              </w:rPr>
            </m:ctrlPr>
          </m:sSubPr>
          <m:e>
            <m:r>
              <m:rPr/>
              <w:rPr>
                <w:rFonts w:hint="eastAsia" w:ascii="Cambria Math" w:hAnsi="Cambria Math" w:cs="宋体"/>
              </w:rPr>
              <m:t>R</m:t>
            </m:r>
            <m:ctrlPr>
              <w:rPr>
                <w:rFonts w:hint="eastAsia" w:ascii="Cambria Math" w:hAnsi="Cambria Math" w:cs="宋体"/>
                <w:i/>
              </w:rPr>
            </m:ctrlPr>
          </m:e>
          <m:sub>
            <m:r>
              <m:rPr/>
              <w:rPr>
                <w:rFonts w:hint="eastAsia" w:ascii="Cambria Math" w:hAnsi="Cambria Math" w:cs="宋体"/>
              </w:rPr>
              <m:t>1</m:t>
            </m:r>
            <m:ctrlPr>
              <w:rPr>
                <w:rFonts w:hint="eastAsia" w:ascii="Cambria Math" w:hAnsi="Cambria Math" w:cs="宋体"/>
                <w:i/>
              </w:rPr>
            </m:ctrlPr>
          </m:sub>
        </m:sSub>
      </m:oMath>
      <w:r>
        <w:rPr>
          <w:rFonts w:hint="eastAsia" w:hAnsi="宋体" w:cs="宋体"/>
          <w:szCs w:val="21"/>
        </w:rPr>
        <w:t>——去皮率，%；</w:t>
      </w:r>
    </w:p>
    <w:p w14:paraId="285BCAE1">
      <w:pPr>
        <w:pStyle w:val="65"/>
        <w:ind w:firstLine="420"/>
        <w:rPr>
          <w:rFonts w:hint="eastAsia" w:hAnsi="宋体" w:cs="宋体"/>
          <w:szCs w:val="21"/>
        </w:rPr>
      </w:pPr>
      <m:oMath>
        <m:sSub>
          <m:sSubPr>
            <m:ctrlPr>
              <w:rPr>
                <w:rFonts w:hint="eastAsia" w:ascii="Cambria Math" w:hAnsi="Cambria Math" w:cs="宋体"/>
                <w:i/>
                <w:szCs w:val="21"/>
              </w:rPr>
            </m:ctrlPr>
          </m:sSubPr>
          <m:e>
            <m:r>
              <m:rPr/>
              <w:rPr>
                <w:rFonts w:hint="eastAsia" w:ascii="Cambria Math" w:hAnsi="Cambria Math" w:cs="宋体"/>
                <w:szCs w:val="21"/>
              </w:rPr>
              <m:t>S</m:t>
            </m:r>
            <m:ctrlPr>
              <w:rPr>
                <w:rFonts w:hint="eastAsia" w:ascii="Cambria Math" w:hAnsi="Cambria Math" w:cs="宋体"/>
                <w:i/>
                <w:szCs w:val="21"/>
              </w:rPr>
            </m:ctrlPr>
          </m:e>
          <m:sub>
            <m:r>
              <m:rPr/>
              <w:rPr>
                <w:rFonts w:hint="eastAsia" w:ascii="Cambria Math" w:hAnsi="Cambria Math" w:cs="宋体"/>
                <w:szCs w:val="21"/>
              </w:rPr>
              <m:t>1</m:t>
            </m:r>
            <m:ctrlPr>
              <w:rPr>
                <w:rFonts w:hint="eastAsia" w:ascii="Cambria Math" w:hAnsi="Cambria Math" w:cs="宋体"/>
                <w:i/>
                <w:szCs w:val="21"/>
              </w:rPr>
            </m:ctrlPr>
          </m:sub>
        </m:sSub>
      </m:oMath>
      <w:r>
        <w:rPr>
          <w:rFonts w:hint="eastAsia" w:hAnsi="宋体" w:cs="宋体"/>
          <w:szCs w:val="21"/>
        </w:rPr>
        <w:t>——50个马铃薯已去皮面积之和，单位为平方毫米（mm</w:t>
      </w:r>
      <w:r>
        <w:rPr>
          <w:rFonts w:hint="eastAsia" w:hAnsi="宋体" w:cs="宋体"/>
          <w:szCs w:val="21"/>
          <w:vertAlign w:val="superscript"/>
        </w:rPr>
        <w:t>2</w:t>
      </w:r>
      <w:r>
        <w:rPr>
          <w:rFonts w:hint="eastAsia" w:hAnsi="宋体" w:cs="宋体"/>
          <w:szCs w:val="21"/>
        </w:rPr>
        <w:t>）；</w:t>
      </w:r>
    </w:p>
    <w:p w14:paraId="1DE54AC5">
      <w:pPr>
        <w:pStyle w:val="65"/>
        <w:ind w:firstLine="420"/>
        <w:rPr>
          <w:rFonts w:hint="eastAsia" w:hAnsi="宋体" w:cs="宋体"/>
          <w:szCs w:val="21"/>
        </w:rPr>
      </w:pPr>
      <m:oMath>
        <m:sSub>
          <m:sSubPr>
            <m:ctrlPr>
              <w:rPr>
                <w:rFonts w:hint="eastAsia" w:ascii="Cambria Math" w:hAnsi="Cambria Math" w:cs="宋体"/>
                <w:i/>
                <w:szCs w:val="21"/>
              </w:rPr>
            </m:ctrlPr>
          </m:sSubPr>
          <m:e>
            <m:r>
              <m:rPr/>
              <w:rPr>
                <w:rFonts w:hint="eastAsia" w:ascii="Cambria Math" w:hAnsi="Cambria Math" w:cs="宋体"/>
                <w:szCs w:val="21"/>
              </w:rPr>
              <m:t>S</m:t>
            </m:r>
            <m:ctrlPr>
              <w:rPr>
                <w:rFonts w:hint="eastAsia" w:ascii="Cambria Math" w:hAnsi="Cambria Math" w:cs="宋体"/>
                <w:i/>
                <w:szCs w:val="21"/>
              </w:rPr>
            </m:ctrlPr>
          </m:e>
          <m:sub>
            <m:r>
              <m:rPr/>
              <w:rPr>
                <w:rFonts w:hint="eastAsia" w:ascii="Cambria Math" w:hAnsi="Cambria Math" w:cs="宋体"/>
                <w:szCs w:val="21"/>
              </w:rPr>
              <m:t>2</m:t>
            </m:r>
            <m:ctrlPr>
              <w:rPr>
                <w:rFonts w:hint="eastAsia" w:ascii="Cambria Math" w:hAnsi="Cambria Math" w:cs="宋体"/>
                <w:i/>
                <w:szCs w:val="21"/>
              </w:rPr>
            </m:ctrlPr>
          </m:sub>
        </m:sSub>
      </m:oMath>
      <w:r>
        <w:rPr>
          <w:rFonts w:hint="eastAsia" w:hAnsi="宋体" w:cs="宋体"/>
          <w:szCs w:val="21"/>
        </w:rPr>
        <w:t>——50个马铃薯没有去掉的表皮面积之和，单位为平方毫米（mm</w:t>
      </w:r>
      <w:r>
        <w:rPr>
          <w:rFonts w:hint="eastAsia" w:hAnsi="宋体" w:cs="宋体"/>
          <w:szCs w:val="21"/>
          <w:vertAlign w:val="superscript"/>
        </w:rPr>
        <w:t>2</w:t>
      </w:r>
      <w:r>
        <w:rPr>
          <w:rFonts w:hint="eastAsia" w:hAnsi="宋体" w:cs="宋体"/>
          <w:szCs w:val="21"/>
        </w:rPr>
        <w:t>）。</w:t>
      </w:r>
    </w:p>
    <w:p w14:paraId="6E067E40">
      <w:pPr>
        <w:pStyle w:val="114"/>
        <w:numPr>
          <w:ilvl w:val="4"/>
          <w:numId w:val="38"/>
        </w:numPr>
        <w:spacing w:beforeLines="0" w:afterLines="0"/>
        <w:ind w:left="0"/>
        <w:outlineLvl w:val="3"/>
        <w:rPr>
          <w:rFonts w:hint="eastAsia" w:ascii="宋体" w:hAnsi="宋体" w:eastAsia="宋体" w:cs="宋体"/>
          <w:szCs w:val="21"/>
        </w:rPr>
      </w:pPr>
      <w:bookmarkStart w:id="584" w:name="_Toc204448602"/>
      <w:r>
        <w:rPr>
          <w:rFonts w:hint="eastAsia" w:ascii="宋体" w:hAnsi="宋体" w:eastAsia="宋体" w:cs="宋体"/>
          <w:szCs w:val="21"/>
        </w:rPr>
        <w:t>去皮损失率试验：去皮设备正常运行时，随机</w:t>
      </w:r>
      <w:r>
        <w:rPr>
          <w:rFonts w:ascii="宋体" w:hAnsi="宋体" w:eastAsia="宋体" w:cs="宋体"/>
          <w:szCs w:val="21"/>
        </w:rPr>
        <w:t>称取</w:t>
      </w:r>
      <w:r>
        <w:rPr>
          <w:rFonts w:hint="eastAsia" w:ascii="宋体" w:hAnsi="宋体" w:eastAsia="宋体" w:cs="宋体"/>
          <w:szCs w:val="21"/>
        </w:rPr>
        <w:t>抽取不少于5 kg的马铃薯，按公式（2）计算去皮损失率，重复进行三次。</w:t>
      </w:r>
      <w:bookmarkEnd w:id="584"/>
    </w:p>
    <w:p w14:paraId="29054E2F">
      <w:pPr>
        <w:tabs>
          <w:tab w:val="center" w:leader="middleDot" w:pos="5250"/>
          <w:tab w:val="center" w:pos="31680"/>
        </w:tabs>
        <w:autoSpaceDE w:val="0"/>
        <w:autoSpaceDN w:val="0"/>
        <w:adjustRightInd/>
        <w:spacing w:line="240" w:lineRule="auto"/>
        <w:ind w:firstLine="420"/>
        <w:jc w:val="right"/>
        <w:rPr>
          <w:rFonts w:ascii="Times New Roman"/>
          <w:iCs/>
        </w:rPr>
      </w:pPr>
      <m:oMath>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den>
        </m:f>
        <m:r>
          <m:rPr/>
          <w:rPr>
            <w:rFonts w:ascii="Cambria Math" w:hAnsi="Cambria Math"/>
          </w:rPr>
          <m:t>×100%</m:t>
        </m:r>
      </m:oMath>
      <w:r>
        <w:rPr>
          <w:rFonts w:ascii="Cambria Math" w:hAnsi="Cambria Math"/>
          <w:i/>
        </w:rPr>
        <w:t xml:space="preserve"> </w:t>
      </w:r>
      <w:r>
        <w:rPr>
          <w:rFonts w:ascii="Cambria Math" w:hAnsi="Cambria Math"/>
          <w:iCs/>
        </w:rPr>
        <w:tab/>
      </w:r>
      <w:r>
        <w:rPr>
          <w:rFonts w:ascii="Cambria Math" w:hAnsi="Cambria Math"/>
          <w:iCs/>
        </w:rPr>
        <w:t>（</w:t>
      </w:r>
      <w:r>
        <w:rPr>
          <w:rFonts w:hint="eastAsia" w:ascii="Cambria Math" w:hAnsi="Cambria Math"/>
          <w:iCs/>
        </w:rPr>
        <w:t>2</w:t>
      </w:r>
      <w:r>
        <w:rPr>
          <w:rFonts w:ascii="Cambria Math" w:hAnsi="Cambria Math"/>
          <w:iCs/>
        </w:rPr>
        <w:t>）</w:t>
      </w:r>
    </w:p>
    <w:p w14:paraId="3D661941">
      <w:pPr>
        <w:pStyle w:val="65"/>
        <w:ind w:firstLine="420"/>
        <w:rPr>
          <w:rFonts w:hint="eastAsia" w:hAnsi="宋体" w:cs="宋体"/>
          <w:szCs w:val="21"/>
        </w:rPr>
      </w:pPr>
      <w:r>
        <w:rPr>
          <w:rFonts w:hint="eastAsia" w:hAnsi="宋体" w:cs="宋体"/>
          <w:szCs w:val="21"/>
        </w:rPr>
        <w:t>式中：</w:t>
      </w:r>
    </w:p>
    <w:p w14:paraId="60CCA6FC">
      <w:pPr>
        <w:pStyle w:val="65"/>
        <w:ind w:firstLine="420"/>
        <w:rPr>
          <w:rFonts w:hint="eastAsia" w:hAnsi="宋体" w:cs="宋体"/>
          <w:szCs w:val="21"/>
        </w:rPr>
      </w:pPr>
      <m:oMath>
        <m:sSub>
          <m:sSubPr>
            <m:ctrlPr>
              <w:rPr>
                <w:rFonts w:hint="eastAsia" w:ascii="Cambria Math" w:hAnsi="Cambria Math" w:cs="宋体"/>
                <w:i/>
                <w:szCs w:val="21"/>
              </w:rPr>
            </m:ctrlPr>
          </m:sSubPr>
          <m:e>
            <m:r>
              <m:rPr/>
              <w:rPr>
                <w:rFonts w:hint="eastAsia" w:ascii="Cambria Math" w:hAnsi="Cambria Math" w:cs="宋体"/>
                <w:szCs w:val="21"/>
              </w:rPr>
              <m:t>R</m:t>
            </m:r>
            <m:ctrlPr>
              <w:rPr>
                <w:rFonts w:hint="eastAsia" w:ascii="Cambria Math" w:hAnsi="Cambria Math" w:cs="宋体"/>
                <w:i/>
                <w:szCs w:val="21"/>
              </w:rPr>
            </m:ctrlPr>
          </m:e>
          <m:sub>
            <m:r>
              <m:rPr/>
              <w:rPr>
                <w:rFonts w:hint="eastAsia" w:ascii="Cambria Math" w:hAnsi="Cambria Math" w:cs="宋体"/>
                <w:szCs w:val="21"/>
              </w:rPr>
              <m:t>2</m:t>
            </m:r>
            <m:ctrlPr>
              <w:rPr>
                <w:rFonts w:hint="eastAsia" w:ascii="Cambria Math" w:hAnsi="Cambria Math" w:cs="宋体"/>
                <w:i/>
                <w:szCs w:val="21"/>
              </w:rPr>
            </m:ctrlPr>
          </m:sub>
        </m:sSub>
      </m:oMath>
      <w:r>
        <w:rPr>
          <w:rFonts w:hint="eastAsia" w:hAnsi="宋体" w:cs="宋体"/>
          <w:szCs w:val="21"/>
        </w:rPr>
        <w:t>——去皮损失率，%；</w:t>
      </w:r>
    </w:p>
    <w:p w14:paraId="3BFB92C6">
      <w:pPr>
        <w:pStyle w:val="65"/>
        <w:ind w:firstLine="420"/>
        <w:rPr>
          <w:rFonts w:hint="eastAsia" w:hAnsi="宋体" w:cs="宋体"/>
          <w:szCs w:val="21"/>
        </w:rPr>
      </w:pPr>
      <m:oMath>
        <m:sSub>
          <m:sSubPr>
            <m:ctrlPr>
              <w:rPr>
                <w:rFonts w:hint="eastAsia" w:ascii="Cambria Math" w:hAnsi="Cambria Math" w:cs="宋体"/>
                <w:szCs w:val="21"/>
              </w:rPr>
            </m:ctrlPr>
          </m:sSubPr>
          <m:e>
            <m:r>
              <m:rPr/>
              <w:rPr>
                <w:rFonts w:hint="eastAsia" w:ascii="Cambria Math" w:hAnsi="Cambria Math" w:cs="宋体"/>
                <w:szCs w:val="21"/>
              </w:rPr>
              <m:t>M</m:t>
            </m:r>
            <m:ctrlPr>
              <w:rPr>
                <w:rFonts w:hint="eastAsia" w:ascii="Cambria Math" w:hAnsi="Cambria Math" w:cs="宋体"/>
                <w:szCs w:val="21"/>
              </w:rPr>
            </m:ctrlPr>
          </m:e>
          <m:sub>
            <m:r>
              <m:rPr>
                <m:sty m:val="p"/>
              </m:rPr>
              <w:rPr>
                <w:rFonts w:hint="eastAsia" w:ascii="Cambria Math" w:hAnsi="Cambria Math" w:cs="宋体"/>
                <w:szCs w:val="21"/>
              </w:rPr>
              <m:t>1</m:t>
            </m:r>
            <m:ctrlPr>
              <w:rPr>
                <w:rFonts w:hint="eastAsia" w:ascii="Cambria Math" w:hAnsi="Cambria Math" w:cs="宋体"/>
                <w:szCs w:val="21"/>
              </w:rPr>
            </m:ctrlPr>
          </m:sub>
        </m:sSub>
      </m:oMath>
      <w:r>
        <w:rPr>
          <w:rFonts w:hint="eastAsia" w:hAnsi="宋体" w:cs="宋体"/>
          <w:szCs w:val="21"/>
        </w:rPr>
        <w:t>——去皮前的马铃薯质量，单位为千克（kg）；</w:t>
      </w:r>
    </w:p>
    <w:p w14:paraId="150F6181">
      <w:pPr>
        <w:pStyle w:val="65"/>
        <w:ind w:firstLine="420"/>
        <w:rPr>
          <w:rFonts w:hint="eastAsia" w:hAnsi="宋体" w:cs="宋体"/>
          <w:color w:val="000000"/>
        </w:rPr>
      </w:pPr>
      <m:oMath>
        <m:sSub>
          <m:sSubPr>
            <m:ctrlPr>
              <w:rPr>
                <w:rFonts w:hint="eastAsia" w:ascii="Cambria Math" w:hAnsi="Cambria Math" w:cs="宋体"/>
              </w:rPr>
            </m:ctrlPr>
          </m:sSubPr>
          <m:e>
            <m:r>
              <m:rPr/>
              <w:rPr>
                <w:rFonts w:hint="eastAsia" w:ascii="Cambria Math" w:hAnsi="Cambria Math" w:cs="宋体"/>
              </w:rPr>
              <m:t>M</m:t>
            </m:r>
            <m:ctrlPr>
              <w:rPr>
                <w:rFonts w:hint="eastAsia" w:ascii="Cambria Math" w:hAnsi="Cambria Math" w:cs="宋体"/>
              </w:rPr>
            </m:ctrlPr>
          </m:e>
          <m:sub>
            <m:r>
              <m:rPr>
                <m:sty m:val="p"/>
              </m:rPr>
              <w:rPr>
                <w:rFonts w:hint="eastAsia" w:ascii="Cambria Math" w:hAnsi="Cambria Math" w:cs="宋体"/>
              </w:rPr>
              <m:t>2</m:t>
            </m:r>
            <m:ctrlPr>
              <w:rPr>
                <w:rFonts w:hint="eastAsia" w:ascii="Cambria Math" w:hAnsi="Cambria Math" w:cs="宋体"/>
              </w:rPr>
            </m:ctrlPr>
          </m:sub>
        </m:sSub>
      </m:oMath>
      <w:r>
        <w:rPr>
          <w:rFonts w:hint="eastAsia" w:hAnsi="宋体" w:cs="宋体"/>
        </w:rPr>
        <w:t>——去皮后的马铃薯质量，单位为千克（kg）。</w:t>
      </w:r>
    </w:p>
    <w:p w14:paraId="6054580D">
      <w:pPr>
        <w:pStyle w:val="114"/>
        <w:numPr>
          <w:ilvl w:val="3"/>
          <w:numId w:val="38"/>
        </w:numPr>
        <w:spacing w:before="120" w:beforeLines="0" w:after="120" w:afterLines="0"/>
        <w:outlineLvl w:val="2"/>
        <w:rPr>
          <w:rFonts w:hint="eastAsia" w:hAnsi="黑体" w:cs="宋体"/>
        </w:rPr>
      </w:pPr>
      <w:bookmarkStart w:id="585" w:name="_Toc204448603"/>
      <w:r>
        <w:rPr>
          <w:rFonts w:hint="eastAsia" w:hAnsi="黑体" w:cs="宋体"/>
        </w:rPr>
        <w:t>切条设备检查</w:t>
      </w:r>
      <w:bookmarkEnd w:id="585"/>
    </w:p>
    <w:p w14:paraId="6FFE0C63">
      <w:pPr>
        <w:pStyle w:val="114"/>
        <w:numPr>
          <w:ilvl w:val="4"/>
          <w:numId w:val="38"/>
        </w:numPr>
        <w:spacing w:beforeLines="0" w:afterLines="0"/>
        <w:ind w:left="0"/>
        <w:outlineLvl w:val="3"/>
        <w:rPr>
          <w:rFonts w:hint="eastAsia" w:ascii="宋体" w:hAnsi="宋体" w:eastAsia="宋体" w:cs="宋体"/>
          <w:szCs w:val="21"/>
        </w:rPr>
      </w:pPr>
      <w:bookmarkStart w:id="586" w:name="_Toc204448604"/>
      <w:r>
        <w:rPr>
          <w:rFonts w:hint="eastAsia" w:ascii="宋体" w:hAnsi="宋体" w:eastAsia="宋体" w:cs="宋体"/>
          <w:szCs w:val="21"/>
        </w:rPr>
        <w:t>目测和触摸检查切条刀具的固定是否牢固可靠。</w:t>
      </w:r>
      <w:bookmarkEnd w:id="586"/>
    </w:p>
    <w:p w14:paraId="3F5A1D0D">
      <w:pPr>
        <w:pStyle w:val="114"/>
        <w:numPr>
          <w:ilvl w:val="4"/>
          <w:numId w:val="38"/>
        </w:numPr>
        <w:spacing w:beforeLines="0" w:afterLines="0"/>
        <w:ind w:left="0"/>
        <w:outlineLvl w:val="3"/>
        <w:rPr>
          <w:rFonts w:hint="eastAsia" w:hAnsi="宋体" w:cs="宋体"/>
          <w:szCs w:val="21"/>
        </w:rPr>
      </w:pPr>
      <w:bookmarkStart w:id="587" w:name="_Toc204448605"/>
      <w:r>
        <w:rPr>
          <w:rFonts w:hint="eastAsia" w:ascii="宋体" w:hAnsi="宋体" w:eastAsia="宋体" w:cs="宋体"/>
        </w:rPr>
        <w:t>切条合格率试验：切条设备正常运行时，随机抽取不少于5 kg的薯条样品，首先剔除受原料形状影响产生的边角条，再依次检查边角条除去后薯条样品的外观质量和尺寸公差，二者均满足工艺要求的薯条为合格切条：</w:t>
      </w:r>
      <w:r>
        <w:rPr>
          <w:rFonts w:hint="eastAsia" w:ascii="宋体" w:hAnsi="宋体" w:eastAsia="宋体" w:cs="宋体"/>
        </w:rPr>
        <w:fldChar w:fldCharType="begin"/>
      </w:r>
      <w:r>
        <w:rPr>
          <w:rFonts w:hint="eastAsia" w:ascii="宋体" w:hAnsi="宋体" w:eastAsia="宋体" w:cs="宋体"/>
        </w:rPr>
        <w:instrText xml:space="preserve"> = 1 \* GB3 </w:instrText>
      </w:r>
      <w:r>
        <w:rPr>
          <w:rFonts w:hint="eastAsia" w:ascii="宋体" w:hAnsi="宋体" w:eastAsia="宋体" w:cs="宋体"/>
        </w:rPr>
        <w:fldChar w:fldCharType="separate"/>
      </w:r>
      <w:r>
        <w:rPr>
          <w:rFonts w:hint="eastAsia" w:ascii="宋体" w:hAnsi="宋体" w:eastAsia="宋体" w:cs="宋体"/>
        </w:rPr>
        <w:t>①</w:t>
      </w:r>
      <w:r>
        <w:rPr>
          <w:rFonts w:hint="eastAsia" w:ascii="宋体" w:hAnsi="宋体" w:eastAsia="宋体" w:cs="宋体"/>
        </w:rPr>
        <w:fldChar w:fldCharType="end"/>
      </w:r>
      <w:r>
        <w:rPr>
          <w:rFonts w:hint="eastAsia" w:ascii="宋体" w:hAnsi="宋体" w:eastAsia="宋体" w:cs="宋体"/>
        </w:rPr>
        <w:t>目测或触摸检查薯条外观质量，薯条切面光滑、无毛刺、无裂纹、无断条等切制缺陷的为合格切条，</w:t>
      </w:r>
      <w:r>
        <w:rPr>
          <w:rFonts w:hint="eastAsia" w:ascii="宋体" w:hAnsi="宋体" w:eastAsia="宋体" w:cs="宋体"/>
        </w:rPr>
        <w:fldChar w:fldCharType="begin"/>
      </w:r>
      <w:r>
        <w:rPr>
          <w:rFonts w:hint="eastAsia" w:ascii="宋体" w:hAnsi="宋体" w:eastAsia="宋体" w:cs="宋体"/>
        </w:rPr>
        <w:instrText xml:space="preserve"> = 2 \* GB3 </w:instrText>
      </w:r>
      <w:r>
        <w:rPr>
          <w:rFonts w:hint="eastAsia" w:ascii="宋体" w:hAnsi="宋体" w:eastAsia="宋体" w:cs="宋体"/>
        </w:rPr>
        <w:fldChar w:fldCharType="separate"/>
      </w:r>
      <w:r>
        <w:rPr>
          <w:rFonts w:hint="eastAsia" w:ascii="宋体" w:hAnsi="宋体" w:eastAsia="宋体" w:cs="宋体"/>
        </w:rPr>
        <w:t>②</w:t>
      </w:r>
      <w:r>
        <w:rPr>
          <w:rFonts w:hint="eastAsia" w:ascii="宋体" w:hAnsi="宋体" w:eastAsia="宋体" w:cs="宋体"/>
        </w:rPr>
        <w:fldChar w:fldCharType="end"/>
      </w:r>
      <w:r>
        <w:rPr>
          <w:rFonts w:hint="eastAsia" w:ascii="宋体" w:hAnsi="宋体" w:eastAsia="宋体" w:cs="宋体"/>
        </w:rPr>
        <w:t>用游标卡尺测量每根薯条两端截面（四边形）的尺寸，两端截面尺寸均符合公差要求的为合格切条。按公式（3）计算切条合格率，重复进行三次。</w:t>
      </w:r>
      <w:bookmarkEnd w:id="587"/>
      <w:bookmarkStart w:id="588" w:name="_Hlk204343508"/>
    </w:p>
    <w:p w14:paraId="002092D2">
      <w:pPr>
        <w:tabs>
          <w:tab w:val="center" w:leader="middleDot" w:pos="5250"/>
          <w:tab w:val="center" w:pos="31680"/>
        </w:tabs>
        <w:autoSpaceDE w:val="0"/>
        <w:autoSpaceDN w:val="0"/>
        <w:adjustRightInd/>
        <w:spacing w:line="240" w:lineRule="auto"/>
        <w:ind w:firstLine="420"/>
        <w:jc w:val="right"/>
        <w:rPr>
          <w:rFonts w:ascii="Times New Roman" w:hAnsi="Times New Roman"/>
        </w:rPr>
      </w:pPr>
      <m:oMath>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3</m:t>
            </m:r>
            <m:ctrlPr>
              <w:rPr>
                <w:rFonts w:ascii="Cambria Math" w:hAnsi="Cambria Math"/>
                <w:i/>
              </w:rPr>
            </m:ctrlPr>
          </m:sub>
        </m:sSub>
        <m:r>
          <m:rPr/>
          <w:rPr>
            <w:rFonts w:ascii="Cambria Math" w:hAnsi="Cambria Math"/>
          </w:rPr>
          <m:t>=</m:t>
        </m:r>
        <m:f>
          <m:fPr>
            <m:ctrlPr>
              <w:rPr>
                <w:rFonts w:ascii="Cambria Math" w:hAnsi="Cambria Math"/>
                <w:i/>
              </w:rPr>
            </m:ctrlPr>
          </m:fPr>
          <m:num>
            <m:sSub>
              <w:bookmarkStart w:id="589" w:name="OLE_LINK7"/>
              <m:sSubPr>
                <m:ctrlPr>
                  <w:rPr>
                    <w:rFonts w:hint="eastAsia" w:ascii="Cambria Math" w:hAnsi="Cambria Math"/>
                    <w:i/>
                  </w:rPr>
                </m:ctrlPr>
              </m:sSubPr>
              <m:e>
                <m:r>
                  <m:rPr/>
                  <w:rPr>
                    <w:rFonts w:ascii="Cambria Math" w:hAnsi="Cambria Math"/>
                  </w:rPr>
                  <m:t>N</m:t>
                </m:r>
                <m:ctrlPr>
                  <w:rPr>
                    <w:rFonts w:hint="eastAsia" w:ascii="Cambria Math" w:hAnsi="Cambria Math"/>
                    <w:i/>
                  </w:rPr>
                </m:ctrlPr>
              </m:e>
              <m:sub>
                <m:r>
                  <m:rPr/>
                  <w:rPr>
                    <w:rFonts w:ascii="Cambria Math" w:hAnsi="Cambria Math"/>
                  </w:rPr>
                  <m:t>1</m:t>
                </m:r>
                <w:bookmarkEnd w:id="589"/>
                <m:ctrlPr>
                  <w:rPr>
                    <w:rFonts w:hint="eastAsia"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den>
        </m:f>
        <m:r>
          <m:rPr/>
          <w:rPr>
            <w:rFonts w:ascii="Cambria Math" w:hAnsi="Cambria Math"/>
          </w:rPr>
          <m:t>×100%</m:t>
        </m:r>
      </m:oMath>
      <w:r>
        <w:rPr>
          <w:rFonts w:ascii="Times New Roman" w:hAnsi="Times New Roman"/>
        </w:rPr>
        <w:t xml:space="preserve">  </w:t>
      </w:r>
      <w:r>
        <w:rPr>
          <w:rFonts w:ascii="Times New Roman" w:hAnsi="Times New Roman"/>
        </w:rPr>
        <w:tab/>
      </w:r>
      <w:r>
        <w:rPr>
          <w:rFonts w:hint="eastAsia" w:ascii="Times New Roman" w:hAnsi="Times New Roman"/>
        </w:rPr>
        <w:t>（3）</w:t>
      </w:r>
    </w:p>
    <w:p w14:paraId="7AFFCEBC">
      <w:pPr>
        <w:pStyle w:val="65"/>
        <w:ind w:firstLine="420"/>
        <w:rPr>
          <w:rFonts w:hint="eastAsia" w:hAnsi="宋体" w:cs="宋体"/>
          <w:szCs w:val="21"/>
        </w:rPr>
      </w:pPr>
      <w:r>
        <w:rPr>
          <w:rFonts w:hint="eastAsia" w:hAnsi="宋体" w:cs="宋体"/>
          <w:szCs w:val="21"/>
        </w:rPr>
        <w:t>式中：</w:t>
      </w:r>
    </w:p>
    <w:p w14:paraId="40FEFA34">
      <w:pPr>
        <w:pStyle w:val="65"/>
        <w:ind w:firstLine="420"/>
        <w:rPr>
          <w:rFonts w:hint="eastAsia" w:hAnsi="宋体" w:cs="宋体"/>
          <w:szCs w:val="21"/>
        </w:rPr>
      </w:pPr>
      <m:oMath>
        <m:sSub>
          <m:sSubPr>
            <m:ctrlPr>
              <w:rPr>
                <w:rFonts w:hint="eastAsia" w:ascii="Cambria Math" w:hAnsi="Cambria Math" w:cs="宋体"/>
                <w:i/>
              </w:rPr>
            </m:ctrlPr>
          </m:sSubPr>
          <m:e>
            <m:r>
              <m:rPr/>
              <w:rPr>
                <w:rFonts w:hint="eastAsia" w:ascii="Cambria Math" w:hAnsi="Cambria Math" w:cs="宋体"/>
              </w:rPr>
              <m:t>R</m:t>
            </m:r>
            <m:ctrlPr>
              <w:rPr>
                <w:rFonts w:hint="eastAsia" w:ascii="Cambria Math" w:hAnsi="Cambria Math" w:cs="宋体"/>
                <w:i/>
              </w:rPr>
            </m:ctrlPr>
          </m:e>
          <m:sub>
            <m:r>
              <m:rPr/>
              <w:rPr>
                <w:rFonts w:hint="eastAsia" w:ascii="Cambria Math" w:hAnsi="Cambria Math" w:cs="宋体"/>
              </w:rPr>
              <m:t>3</m:t>
            </m:r>
            <m:ctrlPr>
              <w:rPr>
                <w:rFonts w:hint="eastAsia" w:ascii="Cambria Math" w:hAnsi="Cambria Math" w:cs="宋体"/>
                <w:i/>
              </w:rPr>
            </m:ctrlPr>
          </m:sub>
        </m:sSub>
      </m:oMath>
      <w:r>
        <w:rPr>
          <w:rFonts w:hint="eastAsia" w:hAnsi="宋体" w:cs="宋体"/>
          <w:szCs w:val="21"/>
        </w:rPr>
        <w:t>——切条合格率，%；</w:t>
      </w:r>
    </w:p>
    <w:p w14:paraId="168F37C2">
      <w:pPr>
        <w:pStyle w:val="65"/>
        <w:ind w:firstLine="420"/>
        <w:rPr>
          <w:rFonts w:hint="eastAsia" w:hAnsi="宋体" w:cs="宋体"/>
          <w:szCs w:val="21"/>
        </w:rPr>
      </w:pPr>
      <m:oMath>
        <m:sSub>
          <m:sSubPr>
            <m:ctrlPr>
              <w:rPr>
                <w:rFonts w:hint="eastAsia" w:ascii="Cambria Math" w:hAnsi="Cambria Math" w:cs="宋体"/>
                <w:i/>
              </w:rPr>
            </m:ctrlPr>
          </m:sSubPr>
          <m:e>
            <m:r>
              <m:rPr/>
              <w:rPr>
                <w:rFonts w:hint="eastAsia" w:ascii="Cambria Math" w:hAnsi="Cambria Math" w:cs="宋体"/>
              </w:rPr>
              <m:t>N</m:t>
            </m:r>
            <m:ctrlPr>
              <w:rPr>
                <w:rFonts w:hint="eastAsia" w:ascii="Cambria Math" w:hAnsi="Cambria Math" w:cs="宋体"/>
                <w:i/>
              </w:rPr>
            </m:ctrlPr>
          </m:e>
          <m:sub>
            <m:r>
              <m:rPr/>
              <w:rPr>
                <w:rFonts w:hint="eastAsia" w:ascii="Cambria Math" w:hAnsi="Cambria Math" w:cs="宋体"/>
              </w:rPr>
              <m:t>1</m:t>
            </m:r>
            <m:ctrlPr>
              <w:rPr>
                <w:rFonts w:hint="eastAsia" w:ascii="Cambria Math" w:hAnsi="Cambria Math" w:cs="宋体"/>
                <w:i/>
              </w:rPr>
            </m:ctrlPr>
          </m:sub>
        </m:sSub>
      </m:oMath>
      <w:r>
        <w:rPr>
          <w:rFonts w:hint="eastAsia" w:hAnsi="宋体" w:cs="宋体"/>
          <w:szCs w:val="21"/>
        </w:rPr>
        <w:t>——</w:t>
      </w:r>
      <w:r>
        <w:rPr>
          <w:rFonts w:hint="eastAsia" w:hAnsi="宋体" w:cs="宋体"/>
        </w:rPr>
        <w:t>边角条除去后薯条样品</w:t>
      </w:r>
      <w:r>
        <w:rPr>
          <w:rFonts w:hint="eastAsia" w:hAnsi="宋体" w:cs="宋体"/>
          <w:szCs w:val="21"/>
        </w:rPr>
        <w:t>数量，单位为根；</w:t>
      </w:r>
    </w:p>
    <w:p w14:paraId="29599FE8">
      <w:pPr>
        <w:adjustRightInd/>
        <w:spacing w:line="240" w:lineRule="auto"/>
        <w:ind w:firstLine="420" w:firstLineChars="200"/>
        <w:jc w:val="both"/>
        <w:rPr>
          <w:rFonts w:hint="eastAsia" w:ascii="宋体" w:hAnsi="宋体" w:cs="宋体"/>
          <w:color w:val="000000"/>
          <w:kern w:val="0"/>
        </w:rPr>
      </w:pPr>
      <m:oMath>
        <m:sSub>
          <m:sSubPr>
            <m:ctrlPr>
              <w:rPr>
                <w:rFonts w:hint="eastAsia" w:ascii="Cambria Math" w:hAnsi="Cambria Math" w:cs="宋体"/>
                <w:i/>
              </w:rPr>
            </m:ctrlPr>
          </m:sSubPr>
          <m:e>
            <m:r>
              <m:rPr/>
              <w:rPr>
                <w:rFonts w:hint="eastAsia" w:ascii="Cambria Math" w:hAnsi="Cambria Math" w:cs="宋体"/>
              </w:rPr>
              <m:t>N</m:t>
            </m:r>
            <m:ctrlPr>
              <w:rPr>
                <w:rFonts w:hint="eastAsia" w:ascii="Cambria Math" w:hAnsi="Cambria Math" w:cs="宋体"/>
                <w:i/>
              </w:rPr>
            </m:ctrlPr>
          </m:e>
          <m:sub>
            <m:r>
              <m:rPr/>
              <w:rPr>
                <w:rFonts w:hint="eastAsia" w:ascii="Cambria Math" w:hAnsi="Cambria Math" w:cs="宋体"/>
              </w:rPr>
              <m:t>2</m:t>
            </m:r>
            <m:ctrlPr>
              <w:rPr>
                <w:rFonts w:hint="eastAsia" w:ascii="Cambria Math" w:hAnsi="Cambria Math" w:cs="宋体"/>
                <w:i/>
              </w:rPr>
            </m:ctrlPr>
          </m:sub>
        </m:sSub>
      </m:oMath>
      <w:r>
        <w:rPr>
          <w:rFonts w:hint="eastAsia" w:ascii="宋体" w:hAnsi="宋体" w:cs="宋体"/>
        </w:rPr>
        <w:t>——不</w:t>
      </w:r>
      <w:r>
        <w:rPr>
          <w:rFonts w:hint="eastAsia" w:hAnsi="宋体" w:cs="宋体"/>
        </w:rPr>
        <w:t>合格切条</w:t>
      </w:r>
      <w:r>
        <w:rPr>
          <w:rFonts w:hint="eastAsia" w:ascii="宋体" w:hAnsi="宋体" w:cs="宋体"/>
        </w:rPr>
        <w:t>数量，单位为根。</w:t>
      </w:r>
    </w:p>
    <w:bookmarkEnd w:id="588"/>
    <w:p w14:paraId="3763E16A">
      <w:pPr>
        <w:pStyle w:val="114"/>
        <w:numPr>
          <w:ilvl w:val="3"/>
          <w:numId w:val="38"/>
        </w:numPr>
        <w:spacing w:before="120" w:beforeLines="0" w:after="120" w:afterLines="0"/>
        <w:outlineLvl w:val="2"/>
        <w:rPr>
          <w:rFonts w:hint="eastAsia" w:hAnsi="黑体" w:cs="宋体"/>
        </w:rPr>
      </w:pPr>
      <w:bookmarkStart w:id="590" w:name="_Toc204448606"/>
      <w:r>
        <w:rPr>
          <w:rFonts w:hint="eastAsia" w:hAnsi="黑体" w:cs="宋体"/>
        </w:rPr>
        <w:t>分选设备瑕疵条剔除率试验</w:t>
      </w:r>
      <w:bookmarkEnd w:id="590"/>
    </w:p>
    <w:p w14:paraId="6ED563D2">
      <w:pPr>
        <w:pStyle w:val="65"/>
        <w:ind w:firstLine="420"/>
        <w:rPr>
          <w:rFonts w:hint="eastAsia" w:hAnsi="宋体" w:cs="宋体"/>
          <w:szCs w:val="21"/>
        </w:rPr>
      </w:pPr>
      <w:r>
        <w:rPr>
          <w:rFonts w:hint="eastAsia" w:hAnsi="宋体" w:cs="宋体"/>
          <w:szCs w:val="21"/>
        </w:rPr>
        <w:t>分选设备正常运行时，随机</w:t>
      </w:r>
      <w:r>
        <w:rPr>
          <w:rFonts w:hAnsi="宋体" w:cs="宋体"/>
          <w:szCs w:val="21"/>
        </w:rPr>
        <w:t>抽取</w:t>
      </w:r>
      <w:r>
        <w:rPr>
          <w:rFonts w:hint="eastAsia" w:hAnsi="宋体" w:cs="宋体"/>
          <w:szCs w:val="21"/>
        </w:rPr>
        <w:t>不少于10 kg的切制薯条，按工艺流程要求通过分选设备分选，统计分选出的瑕疵条（楔形条、薄条、长度不合格条、表面有黑斑等缺陷条）和未分选出的瑕疵条数量，按公式（4）计算瑕疵条剔除率，重复进行三次。</w:t>
      </w:r>
      <w:bookmarkStart w:id="591" w:name="_Hlk204346813"/>
    </w:p>
    <w:p w14:paraId="57467A52">
      <w:pPr>
        <w:tabs>
          <w:tab w:val="center" w:leader="middleDot" w:pos="5250"/>
          <w:tab w:val="center" w:pos="31680"/>
        </w:tabs>
        <w:autoSpaceDE w:val="0"/>
        <w:autoSpaceDN w:val="0"/>
        <w:adjustRightInd/>
        <w:spacing w:line="240" w:lineRule="auto"/>
        <w:ind w:firstLine="420"/>
        <w:jc w:val="right"/>
        <w:rPr>
          <w:rFonts w:ascii="Times New Roman" w:hAnsi="Times New Roman"/>
        </w:rPr>
      </w:pPr>
      <m:oMath>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4</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hint="eastAsia" w:ascii="Cambria Math" w:hAnsi="Cambria Math"/>
                    <w:i/>
                  </w:rPr>
                </m:ctrlPr>
              </m:sSubPr>
              <m:e>
                <m:r>
                  <m:rPr/>
                  <w:rPr>
                    <w:rFonts w:ascii="Cambria Math" w:hAnsi="Cambria Math"/>
                  </w:rPr>
                  <m:t>N</m:t>
                </m:r>
                <m:ctrlPr>
                  <w:rPr>
                    <w:rFonts w:hint="eastAsia" w:ascii="Cambria Math" w:hAnsi="Cambria Math"/>
                    <w:i/>
                  </w:rPr>
                </m:ctrlPr>
              </m:e>
              <m:sub>
                <m:r>
                  <m:rPr/>
                  <w:rPr>
                    <w:rFonts w:ascii="Cambria Math" w:hAnsi="Cambria Math"/>
                  </w:rPr>
                  <m:t>3</m:t>
                </m:r>
                <m:ctrlPr>
                  <w:rPr>
                    <w:rFonts w:hint="eastAsia" w:ascii="Cambria Math" w:hAnsi="Cambria Math"/>
                    <w:i/>
                  </w:rPr>
                </m:ctrlPr>
              </m:sub>
            </m:sSub>
            <m:ctrlPr>
              <w:rPr>
                <w:rFonts w:ascii="Cambria Math" w:hAnsi="Cambria Math"/>
                <w:i/>
              </w:rPr>
            </m:ctrlPr>
          </m:num>
          <m:den>
            <m:sSub>
              <m:sSubPr>
                <m:ctrlPr>
                  <w:rPr>
                    <w:rFonts w:hint="eastAsia" w:ascii="Cambria Math" w:hAnsi="Cambria Math"/>
                    <w:i/>
                  </w:rPr>
                </m:ctrlPr>
              </m:sSubPr>
              <m:e>
                <m:r>
                  <m:rPr/>
                  <w:rPr>
                    <w:rFonts w:ascii="Cambria Math" w:hAnsi="Cambria Math"/>
                  </w:rPr>
                  <m:t>N</m:t>
                </m:r>
                <m:ctrlPr>
                  <w:rPr>
                    <w:rFonts w:hint="eastAsia" w:ascii="Cambria Math" w:hAnsi="Cambria Math"/>
                    <w:i/>
                  </w:rPr>
                </m:ctrlPr>
              </m:e>
              <m:sub>
                <m:r>
                  <m:rPr/>
                  <w:rPr>
                    <w:rFonts w:ascii="Cambria Math" w:hAnsi="Cambria Math"/>
                  </w:rPr>
                  <m:t>3</m:t>
                </m:r>
                <m:ctrlPr>
                  <w:rPr>
                    <w:rFonts w:hint="eastAsia" w:ascii="Cambria Math" w:hAnsi="Cambria Math"/>
                    <w:i/>
                  </w:rPr>
                </m:ctrlPr>
              </m:sub>
            </m:sSub>
            <m:r>
              <m:rPr/>
              <w:rPr>
                <w:rFonts w:hint="eastAsia" w:ascii="Cambria Math" w:hAnsi="Cambria Math"/>
              </w:rPr>
              <m:t>+</m:t>
            </m:r>
            <m:sSub>
              <m:sSubPr>
                <m:ctrlPr>
                  <w:rPr>
                    <w:rFonts w:hint="eastAsia" w:ascii="Cambria Math" w:hAnsi="Cambria Math"/>
                    <w:i/>
                  </w:rPr>
                </m:ctrlPr>
              </m:sSubPr>
              <m:e>
                <m:r>
                  <m:rPr/>
                  <w:rPr>
                    <w:rFonts w:ascii="Cambria Math" w:hAnsi="Cambria Math"/>
                  </w:rPr>
                  <m:t>N</m:t>
                </m:r>
                <m:ctrlPr>
                  <w:rPr>
                    <w:rFonts w:hint="eastAsia" w:ascii="Cambria Math" w:hAnsi="Cambria Math"/>
                    <w:i/>
                  </w:rPr>
                </m:ctrlPr>
              </m:e>
              <m:sub>
                <m:r>
                  <m:rPr/>
                  <w:rPr>
                    <w:rFonts w:hint="eastAsia" w:ascii="Cambria Math" w:hAnsi="Cambria Math"/>
                  </w:rPr>
                  <m:t>4</m:t>
                </m:r>
                <m:ctrlPr>
                  <w:rPr>
                    <w:rFonts w:hint="eastAsia" w:ascii="Cambria Math" w:hAnsi="Cambria Math"/>
                    <w:i/>
                  </w:rPr>
                </m:ctrlPr>
              </m:sub>
            </m:sSub>
            <m:ctrlPr>
              <w:rPr>
                <w:rFonts w:ascii="Cambria Math" w:hAnsi="Cambria Math"/>
                <w:i/>
              </w:rPr>
            </m:ctrlPr>
          </m:den>
        </m:f>
        <m:r>
          <m:rPr/>
          <w:rPr>
            <w:rFonts w:ascii="Cambria Math" w:hAnsi="Cambria Math"/>
          </w:rPr>
          <m:t>×100%</m:t>
        </m:r>
      </m:oMath>
      <w:r>
        <w:rPr>
          <w:rFonts w:ascii="Times New Roman" w:hAnsi="Times New Roman"/>
        </w:rPr>
        <w:t xml:space="preserve"> </w:t>
      </w:r>
      <w:r>
        <w:rPr>
          <w:rFonts w:ascii="Times New Roman" w:hAnsi="Times New Roman"/>
        </w:rPr>
        <w:tab/>
      </w:r>
      <w:r>
        <w:rPr>
          <w:rFonts w:hint="eastAsia" w:ascii="Times New Roman" w:hAnsi="Times New Roman"/>
        </w:rPr>
        <w:t>（4）</w:t>
      </w:r>
    </w:p>
    <w:p w14:paraId="7F1CC0C9">
      <w:pPr>
        <w:pStyle w:val="65"/>
        <w:ind w:firstLine="420"/>
        <w:rPr>
          <w:rFonts w:hint="eastAsia" w:hAnsi="宋体" w:cs="宋体"/>
          <w:szCs w:val="21"/>
        </w:rPr>
      </w:pPr>
      <w:r>
        <w:rPr>
          <w:rFonts w:hint="eastAsia" w:hAnsi="宋体" w:cs="宋体"/>
          <w:szCs w:val="21"/>
        </w:rPr>
        <w:t>式中：</w:t>
      </w:r>
    </w:p>
    <w:p w14:paraId="0B210B7C">
      <w:pPr>
        <w:pStyle w:val="65"/>
        <w:ind w:firstLine="420"/>
        <w:rPr>
          <w:rFonts w:hint="eastAsia" w:hAnsi="宋体" w:cs="宋体"/>
          <w:szCs w:val="21"/>
        </w:rPr>
      </w:pPr>
      <m:oMath>
        <m:sSub>
          <m:sSubPr>
            <m:ctrlPr>
              <w:rPr>
                <w:rFonts w:hint="eastAsia" w:ascii="Cambria Math" w:hAnsi="Cambria Math" w:cs="宋体"/>
                <w:i/>
              </w:rPr>
            </m:ctrlPr>
          </m:sSubPr>
          <m:e>
            <m:r>
              <m:rPr/>
              <w:rPr>
                <w:rFonts w:hint="eastAsia" w:ascii="Cambria Math" w:hAnsi="Cambria Math" w:cs="宋体"/>
              </w:rPr>
              <m:t>R</m:t>
            </m:r>
            <m:ctrlPr>
              <w:rPr>
                <w:rFonts w:hint="eastAsia" w:ascii="Cambria Math" w:hAnsi="Cambria Math" w:cs="宋体"/>
                <w:i/>
              </w:rPr>
            </m:ctrlPr>
          </m:e>
          <m:sub>
            <m:r>
              <m:rPr/>
              <w:rPr>
                <w:rFonts w:hint="eastAsia" w:ascii="Cambria Math" w:hAnsi="Cambria Math" w:cs="宋体"/>
              </w:rPr>
              <m:t>4</m:t>
            </m:r>
            <m:ctrlPr>
              <w:rPr>
                <w:rFonts w:hint="eastAsia" w:ascii="Cambria Math" w:hAnsi="Cambria Math" w:cs="宋体"/>
                <w:i/>
              </w:rPr>
            </m:ctrlPr>
          </m:sub>
        </m:sSub>
      </m:oMath>
      <w:r>
        <w:rPr>
          <w:rFonts w:hint="eastAsia" w:hAnsi="宋体" w:cs="宋体"/>
          <w:szCs w:val="21"/>
        </w:rPr>
        <w:t>——瑕疵条剔除率，%；</w:t>
      </w:r>
    </w:p>
    <w:p w14:paraId="7C423EBF">
      <w:pPr>
        <w:pStyle w:val="65"/>
        <w:ind w:firstLine="420"/>
        <w:rPr>
          <w:rFonts w:hint="eastAsia" w:hAnsi="宋体" w:cs="宋体"/>
          <w:szCs w:val="21"/>
        </w:rPr>
      </w:pPr>
      <m:oMath>
        <m:sSub>
          <m:sSubPr>
            <m:ctrlPr>
              <w:rPr>
                <w:rFonts w:hint="eastAsia" w:ascii="Cambria Math" w:hAnsi="Cambria Math" w:cs="宋体"/>
                <w:i/>
              </w:rPr>
            </m:ctrlPr>
          </m:sSubPr>
          <m:e>
            <m:r>
              <m:rPr/>
              <w:rPr>
                <w:rFonts w:hint="eastAsia" w:ascii="Cambria Math" w:hAnsi="Cambria Math" w:cs="宋体"/>
              </w:rPr>
              <m:t>N</m:t>
            </m:r>
            <m:ctrlPr>
              <w:rPr>
                <w:rFonts w:hint="eastAsia" w:ascii="Cambria Math" w:hAnsi="Cambria Math" w:cs="宋体"/>
                <w:i/>
              </w:rPr>
            </m:ctrlPr>
          </m:e>
          <m:sub>
            <m:r>
              <m:rPr/>
              <w:rPr>
                <w:rFonts w:hint="eastAsia" w:ascii="Cambria Math" w:hAnsi="Cambria Math" w:cs="宋体"/>
              </w:rPr>
              <m:t>3</m:t>
            </m:r>
            <m:ctrlPr>
              <w:rPr>
                <w:rFonts w:hint="eastAsia" w:ascii="Cambria Math" w:hAnsi="Cambria Math" w:cs="宋体"/>
                <w:i/>
              </w:rPr>
            </m:ctrlPr>
          </m:sub>
        </m:sSub>
      </m:oMath>
      <w:r>
        <w:rPr>
          <w:rFonts w:hint="eastAsia" w:hAnsi="宋体" w:cs="宋体"/>
          <w:szCs w:val="21"/>
        </w:rPr>
        <w:t>——分选出的瑕疵条数量，单位为根；</w:t>
      </w:r>
    </w:p>
    <w:p w14:paraId="4B6F0CE0">
      <w:pPr>
        <w:pStyle w:val="65"/>
        <w:ind w:firstLine="420"/>
        <w:rPr>
          <w:rFonts w:hint="eastAsia" w:hAnsi="宋体" w:cs="宋体"/>
        </w:rPr>
      </w:pPr>
      <m:oMath>
        <m:sSub>
          <m:sSubPr>
            <m:ctrlPr>
              <w:rPr>
                <w:rFonts w:hint="eastAsia" w:ascii="Cambria Math" w:hAnsi="Cambria Math" w:cs="宋体"/>
                <w:i/>
              </w:rPr>
            </m:ctrlPr>
          </m:sSubPr>
          <m:e>
            <m:r>
              <m:rPr/>
              <w:rPr>
                <w:rFonts w:hint="eastAsia" w:ascii="Cambria Math" w:hAnsi="Cambria Math" w:cs="宋体"/>
              </w:rPr>
              <m:t>N</m:t>
            </m:r>
            <m:ctrlPr>
              <w:rPr>
                <w:rFonts w:hint="eastAsia" w:ascii="Cambria Math" w:hAnsi="Cambria Math" w:cs="宋体"/>
                <w:i/>
              </w:rPr>
            </m:ctrlPr>
          </m:e>
          <m:sub>
            <m:r>
              <m:rPr/>
              <w:rPr>
                <w:rFonts w:hint="eastAsia" w:ascii="Cambria Math" w:hAnsi="Cambria Math" w:cs="宋体"/>
              </w:rPr>
              <m:t>4</m:t>
            </m:r>
            <m:ctrlPr>
              <w:rPr>
                <w:rFonts w:hint="eastAsia" w:ascii="Cambria Math" w:hAnsi="Cambria Math" w:cs="宋体"/>
                <w:i/>
              </w:rPr>
            </m:ctrlPr>
          </m:sub>
        </m:sSub>
      </m:oMath>
      <w:r>
        <w:rPr>
          <w:rFonts w:hint="eastAsia" w:hAnsi="宋体" w:cs="宋体"/>
          <w:szCs w:val="21"/>
        </w:rPr>
        <w:t>——未分选出的瑕疵条数量，单位为根。</w:t>
      </w:r>
    </w:p>
    <w:bookmarkEnd w:id="591"/>
    <w:p w14:paraId="5A610501">
      <w:pPr>
        <w:numPr>
          <w:ilvl w:val="3"/>
          <w:numId w:val="38"/>
        </w:numPr>
        <w:adjustRightInd/>
        <w:spacing w:before="120" w:after="120" w:line="240" w:lineRule="auto"/>
        <w:jc w:val="both"/>
        <w:outlineLvl w:val="2"/>
        <w:rPr>
          <w:rFonts w:hint="eastAsia" w:ascii="黑体" w:hAnsi="黑体" w:eastAsia="黑体" w:cs="宋体"/>
          <w:color w:val="000000"/>
          <w:kern w:val="0"/>
        </w:rPr>
      </w:pPr>
      <w:r>
        <w:rPr>
          <w:rFonts w:hint="eastAsia" w:ascii="黑体" w:hAnsi="黑体" w:eastAsia="黑体" w:cs="宋体"/>
          <w:color w:val="000000"/>
          <w:kern w:val="0"/>
        </w:rPr>
        <w:t>漂烫设备检查</w:t>
      </w:r>
    </w:p>
    <w:p w14:paraId="5A2166C5">
      <w:pPr>
        <w:numPr>
          <w:ilvl w:val="4"/>
          <w:numId w:val="38"/>
        </w:numPr>
        <w:spacing w:line="240" w:lineRule="auto"/>
        <w:ind w:left="0"/>
        <w:jc w:val="both"/>
        <w:outlineLvl w:val="3"/>
        <w:rPr>
          <w:rFonts w:ascii="黑体" w:hAnsi="Times New Roman" w:eastAsia="黑体"/>
          <w:kern w:val="0"/>
        </w:rPr>
      </w:pPr>
      <w:r>
        <w:rPr>
          <w:rFonts w:ascii="黑体" w:hAnsi="Times New Roman"/>
          <w:kern w:val="0"/>
        </w:rPr>
        <w:t>目测检查漂烫温度及漂烫时间</w:t>
      </w:r>
      <w:bookmarkStart w:id="592" w:name="OLE_LINK5"/>
      <w:r>
        <w:rPr>
          <w:rFonts w:ascii="黑体" w:hAnsi="Times New Roman"/>
          <w:kern w:val="0"/>
        </w:rPr>
        <w:t>是否满足漂烫工艺的要求。</w:t>
      </w:r>
      <w:bookmarkEnd w:id="592"/>
    </w:p>
    <w:p w14:paraId="665BBA06">
      <w:pPr>
        <w:numPr>
          <w:ilvl w:val="4"/>
          <w:numId w:val="38"/>
        </w:numPr>
        <w:spacing w:line="240" w:lineRule="auto"/>
        <w:ind w:left="0"/>
        <w:jc w:val="both"/>
        <w:outlineLvl w:val="3"/>
        <w:rPr>
          <w:rFonts w:ascii="黑体" w:hAnsi="Times New Roman" w:eastAsia="黑体"/>
          <w:kern w:val="0"/>
        </w:rPr>
      </w:pPr>
      <w:r>
        <w:rPr>
          <w:rFonts w:hAnsi="Times New Roman"/>
        </w:rPr>
        <w:t>目测和触摸检查漂烫设备的防烫伤保护措施</w:t>
      </w:r>
      <w:r>
        <w:rPr>
          <w:rFonts w:ascii="黑体" w:hAnsi="Times New Roman"/>
          <w:kern w:val="0"/>
        </w:rPr>
        <w:t>。</w:t>
      </w:r>
    </w:p>
    <w:p w14:paraId="78E37145">
      <w:pPr>
        <w:numPr>
          <w:ilvl w:val="3"/>
          <w:numId w:val="38"/>
        </w:numPr>
        <w:adjustRightInd/>
        <w:spacing w:before="120" w:after="120" w:line="240" w:lineRule="auto"/>
        <w:jc w:val="both"/>
        <w:outlineLvl w:val="2"/>
        <w:rPr>
          <w:rFonts w:hint="eastAsia" w:ascii="黑体" w:hAnsi="黑体" w:eastAsia="黑体" w:cs="宋体"/>
          <w:color w:val="000000"/>
          <w:kern w:val="0"/>
        </w:rPr>
      </w:pPr>
      <w:r>
        <w:rPr>
          <w:rFonts w:hint="eastAsia" w:ascii="黑体" w:hAnsi="黑体" w:eastAsia="黑体" w:cs="宋体"/>
          <w:color w:val="000000"/>
          <w:kern w:val="0"/>
        </w:rPr>
        <w:t>调理设备检查</w:t>
      </w:r>
    </w:p>
    <w:p w14:paraId="33DC704A">
      <w:pPr>
        <w:numPr>
          <w:ilvl w:val="4"/>
          <w:numId w:val="38"/>
        </w:numPr>
        <w:spacing w:line="240" w:lineRule="auto"/>
        <w:ind w:left="0"/>
        <w:jc w:val="both"/>
        <w:outlineLvl w:val="3"/>
        <w:rPr>
          <w:rFonts w:ascii="黑体" w:hAnsi="Times New Roman" w:eastAsia="黑体"/>
          <w:kern w:val="0"/>
        </w:rPr>
      </w:pPr>
      <w:r>
        <w:rPr>
          <w:rFonts w:hint="eastAsia" w:ascii="宋体" w:hAnsi="宋体" w:cs="宋体"/>
          <w:kern w:val="0"/>
        </w:rPr>
        <w:t>目测检查调理温度及调理时间是否满足调理工艺的要求。</w:t>
      </w:r>
    </w:p>
    <w:p w14:paraId="4CA424BE">
      <w:pPr>
        <w:numPr>
          <w:ilvl w:val="4"/>
          <w:numId w:val="38"/>
        </w:numPr>
        <w:spacing w:line="240" w:lineRule="auto"/>
        <w:ind w:left="0"/>
        <w:jc w:val="both"/>
        <w:outlineLvl w:val="3"/>
        <w:rPr>
          <w:rFonts w:ascii="黑体" w:hAnsi="Times New Roman" w:eastAsia="黑体"/>
          <w:kern w:val="0"/>
        </w:rPr>
      </w:pPr>
      <w:r>
        <w:rPr>
          <w:rFonts w:hint="eastAsia" w:ascii="宋体" w:hAnsi="宋体" w:cs="宋体"/>
        </w:rPr>
        <w:t>目测和触摸检查调理设备的防烫伤保护措施。</w:t>
      </w:r>
    </w:p>
    <w:p w14:paraId="5CD03541">
      <w:pPr>
        <w:numPr>
          <w:ilvl w:val="3"/>
          <w:numId w:val="38"/>
        </w:numPr>
        <w:adjustRightInd/>
        <w:spacing w:before="120" w:after="120" w:line="240" w:lineRule="auto"/>
        <w:jc w:val="both"/>
        <w:outlineLvl w:val="2"/>
        <w:rPr>
          <w:rFonts w:hint="eastAsia" w:ascii="黑体" w:hAnsi="黑体" w:eastAsia="黑体" w:cs="宋体"/>
          <w:color w:val="000000"/>
          <w:kern w:val="0"/>
        </w:rPr>
      </w:pPr>
      <w:r>
        <w:rPr>
          <w:rFonts w:hint="eastAsia" w:ascii="黑体" w:hAnsi="黑体" w:eastAsia="黑体" w:cs="宋体"/>
          <w:color w:val="000000"/>
          <w:kern w:val="0"/>
        </w:rPr>
        <w:t>烘干设备检查</w:t>
      </w:r>
    </w:p>
    <w:p w14:paraId="1C7A643D">
      <w:pPr>
        <w:numPr>
          <w:ilvl w:val="4"/>
          <w:numId w:val="38"/>
        </w:numPr>
        <w:spacing w:line="240" w:lineRule="auto"/>
        <w:ind w:left="0"/>
        <w:jc w:val="both"/>
        <w:outlineLvl w:val="3"/>
        <w:rPr>
          <w:rFonts w:ascii="黑体" w:hAnsi="Times New Roman" w:eastAsia="黑体"/>
          <w:kern w:val="0"/>
        </w:rPr>
      </w:pPr>
      <w:r>
        <w:rPr>
          <w:rFonts w:hint="eastAsia" w:ascii="宋体" w:hAnsi="宋体" w:cs="宋体"/>
          <w:kern w:val="0"/>
        </w:rPr>
        <w:t>目测检查烘干温度及烘干时间是否满足烘干工艺的要求。</w:t>
      </w:r>
    </w:p>
    <w:p w14:paraId="17DBA2C8">
      <w:pPr>
        <w:numPr>
          <w:ilvl w:val="4"/>
          <w:numId w:val="38"/>
        </w:numPr>
        <w:spacing w:line="240" w:lineRule="auto"/>
        <w:ind w:left="0"/>
        <w:jc w:val="both"/>
        <w:outlineLvl w:val="3"/>
        <w:rPr>
          <w:rFonts w:ascii="黑体" w:hAnsi="Times New Roman" w:eastAsia="黑体"/>
          <w:kern w:val="0"/>
        </w:rPr>
      </w:pPr>
      <w:r>
        <w:rPr>
          <w:rFonts w:hint="eastAsia"/>
        </w:rPr>
        <w:t>目测和触摸检查烘干设备的防烫伤保护装置</w:t>
      </w:r>
      <w:r>
        <w:rPr>
          <w:rFonts w:hint="eastAsia" w:ascii="宋体" w:hAnsi="宋体" w:cs="宋体"/>
        </w:rPr>
        <w:t>。</w:t>
      </w:r>
    </w:p>
    <w:p w14:paraId="0775EA0D">
      <w:pPr>
        <w:numPr>
          <w:ilvl w:val="3"/>
          <w:numId w:val="38"/>
        </w:numPr>
        <w:adjustRightInd/>
        <w:spacing w:before="120" w:after="120" w:line="240" w:lineRule="auto"/>
        <w:jc w:val="both"/>
        <w:outlineLvl w:val="2"/>
        <w:rPr>
          <w:rFonts w:hint="eastAsia" w:ascii="黑体" w:hAnsi="黑体" w:eastAsia="黑体" w:cs="宋体"/>
          <w:color w:val="000000"/>
          <w:kern w:val="0"/>
        </w:rPr>
      </w:pPr>
      <w:r>
        <w:rPr>
          <w:rFonts w:hint="eastAsia" w:ascii="黑体" w:hAnsi="黑体" w:eastAsia="黑体" w:cs="宋体"/>
          <w:color w:val="000000"/>
          <w:kern w:val="0"/>
        </w:rPr>
        <w:t>油炸设备检查</w:t>
      </w:r>
    </w:p>
    <w:p w14:paraId="072B5512">
      <w:pPr>
        <w:numPr>
          <w:ilvl w:val="4"/>
          <w:numId w:val="38"/>
        </w:numPr>
        <w:spacing w:line="240" w:lineRule="auto"/>
        <w:ind w:left="0"/>
        <w:jc w:val="both"/>
        <w:outlineLvl w:val="3"/>
        <w:rPr>
          <w:rFonts w:ascii="黑体" w:hAnsi="Times New Roman" w:eastAsia="黑体"/>
          <w:kern w:val="0"/>
        </w:rPr>
      </w:pPr>
      <w:r>
        <w:rPr>
          <w:rFonts w:hint="eastAsia" w:ascii="宋体" w:hAnsi="宋体" w:cs="宋体"/>
          <w:kern w:val="0"/>
        </w:rPr>
        <w:t>目测检查油炸温度及油炸时间是否满足油炸工艺的要求。</w:t>
      </w:r>
    </w:p>
    <w:p w14:paraId="38A8A1E0">
      <w:pPr>
        <w:numPr>
          <w:ilvl w:val="4"/>
          <w:numId w:val="38"/>
        </w:numPr>
        <w:spacing w:line="240" w:lineRule="auto"/>
        <w:ind w:left="0"/>
        <w:jc w:val="both"/>
        <w:outlineLvl w:val="3"/>
        <w:rPr>
          <w:rFonts w:ascii="黑体" w:hAnsi="Times New Roman" w:eastAsia="黑体"/>
          <w:kern w:val="0"/>
        </w:rPr>
      </w:pPr>
      <w:r>
        <w:rPr>
          <w:rFonts w:hint="eastAsia" w:ascii="宋体" w:hAnsi="宋体" w:cs="宋体"/>
        </w:rPr>
        <w:t>目测和触摸检查油炸设备的防烫伤保护装置。</w:t>
      </w:r>
    </w:p>
    <w:p w14:paraId="7A115D24">
      <w:pPr>
        <w:numPr>
          <w:ilvl w:val="4"/>
          <w:numId w:val="38"/>
        </w:numPr>
        <w:spacing w:line="240" w:lineRule="auto"/>
        <w:ind w:left="0"/>
        <w:jc w:val="both"/>
        <w:outlineLvl w:val="3"/>
        <w:rPr>
          <w:rFonts w:ascii="黑体" w:hAnsi="Times New Roman" w:eastAsia="黑体"/>
          <w:kern w:val="0"/>
        </w:rPr>
      </w:pPr>
      <w:r>
        <w:rPr>
          <w:rFonts w:hint="eastAsia" w:ascii="宋体" w:hAnsi="宋体" w:cs="宋体"/>
        </w:rPr>
        <w:t>产品含油率试验：油炸设备正常运行时，随机抽取油炸、沥油后的薯条样品，按照GB 5009.6规定的方法测定薯条油脂含量。</w:t>
      </w:r>
    </w:p>
    <w:p w14:paraId="200F33A4">
      <w:pPr>
        <w:numPr>
          <w:ilvl w:val="3"/>
          <w:numId w:val="38"/>
        </w:numPr>
        <w:adjustRightInd/>
        <w:spacing w:before="120" w:after="120" w:line="240" w:lineRule="auto"/>
        <w:jc w:val="both"/>
        <w:outlineLvl w:val="2"/>
        <w:rPr>
          <w:rFonts w:hint="eastAsia" w:ascii="黑体" w:hAnsi="黑体" w:eastAsia="黑体" w:cs="宋体"/>
          <w:color w:val="000000"/>
          <w:kern w:val="0"/>
        </w:rPr>
      </w:pPr>
      <w:r>
        <w:rPr>
          <w:rFonts w:hint="eastAsia" w:ascii="黑体" w:hAnsi="黑体" w:eastAsia="黑体" w:cs="宋体"/>
          <w:color w:val="000000"/>
          <w:kern w:val="0"/>
        </w:rPr>
        <w:t>速冻设备检查</w:t>
      </w:r>
    </w:p>
    <w:p w14:paraId="797FC67C">
      <w:pPr>
        <w:numPr>
          <w:ilvl w:val="4"/>
          <w:numId w:val="38"/>
        </w:numPr>
        <w:spacing w:line="240" w:lineRule="auto"/>
        <w:ind w:left="0"/>
        <w:jc w:val="both"/>
        <w:outlineLvl w:val="3"/>
        <w:rPr>
          <w:rFonts w:ascii="黑体" w:hAnsi="Times New Roman" w:eastAsia="黑体"/>
          <w:kern w:val="0"/>
        </w:rPr>
      </w:pPr>
      <w:r>
        <w:rPr>
          <w:rFonts w:hint="eastAsia" w:ascii="宋体" w:hAnsi="宋体" w:cs="宋体"/>
          <w:kern w:val="0"/>
        </w:rPr>
        <w:t>目测检查速冻温度及速冻时间是否满足速冻工艺的要求。</w:t>
      </w:r>
    </w:p>
    <w:p w14:paraId="61798E75">
      <w:pPr>
        <w:numPr>
          <w:ilvl w:val="4"/>
          <w:numId w:val="38"/>
        </w:numPr>
        <w:spacing w:line="240" w:lineRule="auto"/>
        <w:ind w:left="0"/>
        <w:jc w:val="both"/>
        <w:outlineLvl w:val="3"/>
        <w:rPr>
          <w:rFonts w:ascii="黑体" w:hAnsi="Times New Roman" w:eastAsia="黑体"/>
          <w:kern w:val="0"/>
        </w:rPr>
      </w:pPr>
      <w:r>
        <w:rPr>
          <w:rFonts w:hint="eastAsia" w:ascii="宋体" w:hAnsi="宋体" w:cs="宋体"/>
        </w:rPr>
        <w:t>目测和触摸检查速冻设备的防冻伤保护措施。</w:t>
      </w:r>
    </w:p>
    <w:bookmarkEnd w:id="579"/>
    <w:bookmarkEnd w:id="580"/>
    <w:p w14:paraId="243B77FD">
      <w:pPr>
        <w:pStyle w:val="114"/>
        <w:numPr>
          <w:ilvl w:val="2"/>
          <w:numId w:val="38"/>
        </w:numPr>
        <w:spacing w:before="120" w:after="120"/>
        <w:rPr>
          <w:rFonts w:hint="eastAsia" w:hAnsi="黑体" w:cs="宋体"/>
          <w:szCs w:val="21"/>
        </w:rPr>
      </w:pPr>
      <w:bookmarkStart w:id="593" w:name="_Toc26709"/>
      <w:bookmarkStart w:id="594" w:name="_Toc11104"/>
      <w:bookmarkStart w:id="595" w:name="_Toc23803"/>
      <w:bookmarkStart w:id="596" w:name="_Toc2236"/>
      <w:bookmarkStart w:id="597" w:name="_Toc196411942"/>
      <w:bookmarkStart w:id="598" w:name="_Toc20643"/>
      <w:r>
        <w:rPr>
          <w:rFonts w:hint="eastAsia" w:hAnsi="黑体" w:cs="宋体"/>
          <w:szCs w:val="21"/>
        </w:rPr>
        <w:t>装配要求检查</w:t>
      </w:r>
      <w:bookmarkEnd w:id="593"/>
      <w:bookmarkEnd w:id="594"/>
      <w:bookmarkEnd w:id="595"/>
      <w:bookmarkEnd w:id="596"/>
      <w:bookmarkEnd w:id="597"/>
      <w:bookmarkEnd w:id="598"/>
    </w:p>
    <w:p w14:paraId="68E96D70">
      <w:pPr>
        <w:pStyle w:val="114"/>
        <w:numPr>
          <w:ilvl w:val="3"/>
          <w:numId w:val="38"/>
        </w:numPr>
        <w:spacing w:beforeLines="0" w:afterLines="0"/>
        <w:outlineLvl w:val="2"/>
        <w:rPr>
          <w:rFonts w:hint="eastAsia" w:ascii="宋体" w:hAnsi="宋体" w:eastAsia="宋体" w:cs="宋体"/>
          <w:color w:val="000000"/>
        </w:rPr>
      </w:pPr>
      <w:bookmarkStart w:id="599" w:name="_Toc204448608"/>
      <w:bookmarkStart w:id="600" w:name="_Toc196300198"/>
      <w:bookmarkStart w:id="601" w:name="_Toc196411943"/>
      <w:r>
        <w:rPr>
          <w:rFonts w:hint="eastAsia" w:ascii="宋体" w:hAnsi="宋体" w:eastAsia="宋体" w:cs="宋体"/>
          <w:color w:val="000000"/>
        </w:rPr>
        <w:t>按SB/T 224的规定检查成套设备装配情况。</w:t>
      </w:r>
      <w:bookmarkEnd w:id="599"/>
      <w:bookmarkEnd w:id="600"/>
      <w:bookmarkEnd w:id="601"/>
    </w:p>
    <w:p w14:paraId="18D0904C">
      <w:pPr>
        <w:pStyle w:val="114"/>
        <w:numPr>
          <w:ilvl w:val="3"/>
          <w:numId w:val="38"/>
        </w:numPr>
        <w:spacing w:beforeLines="0" w:afterLines="0"/>
        <w:outlineLvl w:val="2"/>
        <w:rPr>
          <w:rFonts w:hint="eastAsia" w:ascii="宋体" w:hAnsi="宋体" w:eastAsia="宋体" w:cs="宋体"/>
          <w:color w:val="000000"/>
        </w:rPr>
      </w:pPr>
      <w:bookmarkStart w:id="602" w:name="_Toc196411944"/>
      <w:bookmarkStart w:id="603" w:name="_Toc196300199"/>
      <w:bookmarkStart w:id="604" w:name="_Toc204448609"/>
      <w:r>
        <w:rPr>
          <w:rFonts w:hint="eastAsia" w:ascii="宋体" w:hAnsi="宋体" w:eastAsia="宋体" w:cs="宋体"/>
        </w:rPr>
        <w:t>目测或触摸检查成套</w:t>
      </w:r>
      <w:r>
        <w:rPr>
          <w:rFonts w:hint="eastAsia" w:ascii="宋体" w:hAnsi="宋体" w:eastAsia="宋体" w:cs="宋体"/>
          <w:color w:val="000000"/>
        </w:rPr>
        <w:t>设备零部件的连接情况。</w:t>
      </w:r>
      <w:bookmarkEnd w:id="602"/>
      <w:bookmarkEnd w:id="603"/>
      <w:bookmarkEnd w:id="604"/>
    </w:p>
    <w:p w14:paraId="531E8590">
      <w:pPr>
        <w:pStyle w:val="114"/>
        <w:numPr>
          <w:ilvl w:val="3"/>
          <w:numId w:val="38"/>
        </w:numPr>
        <w:spacing w:beforeLines="0" w:afterLines="0"/>
        <w:outlineLvl w:val="2"/>
        <w:rPr>
          <w:rFonts w:hint="eastAsia" w:ascii="宋体" w:hAnsi="宋体" w:eastAsia="宋体" w:cs="宋体"/>
          <w:color w:val="0070C0"/>
          <w:szCs w:val="24"/>
        </w:rPr>
      </w:pPr>
      <w:bookmarkStart w:id="605" w:name="_Toc204448610"/>
      <w:bookmarkStart w:id="606" w:name="_Toc196300200"/>
      <w:bookmarkStart w:id="607" w:name="_Toc196411945"/>
      <w:r>
        <w:rPr>
          <w:rFonts w:hint="eastAsia" w:ascii="宋体" w:hAnsi="宋体" w:eastAsia="宋体" w:cs="宋体"/>
        </w:rPr>
        <w:t>目测或触摸检查成套设备的管线及各管件的连接情况。</w:t>
      </w:r>
      <w:bookmarkEnd w:id="605"/>
    </w:p>
    <w:p w14:paraId="66FF7E9A">
      <w:pPr>
        <w:pStyle w:val="114"/>
        <w:numPr>
          <w:ilvl w:val="3"/>
          <w:numId w:val="38"/>
        </w:numPr>
        <w:spacing w:beforeLines="0" w:afterLines="0"/>
        <w:outlineLvl w:val="2"/>
        <w:rPr>
          <w:rFonts w:hint="eastAsia" w:ascii="宋体" w:hAnsi="宋体" w:eastAsia="宋体" w:cs="宋体"/>
        </w:rPr>
      </w:pPr>
      <w:bookmarkStart w:id="608" w:name="_Toc204448611"/>
      <w:r>
        <w:rPr>
          <w:rFonts w:hint="eastAsia" w:ascii="宋体" w:hAnsi="宋体" w:eastAsia="宋体" w:cs="宋体"/>
          <w:color w:val="000000"/>
        </w:rPr>
        <w:t>目测或触摸检查成套设备的外观质量。</w:t>
      </w:r>
      <w:bookmarkEnd w:id="606"/>
      <w:bookmarkEnd w:id="607"/>
      <w:bookmarkEnd w:id="608"/>
    </w:p>
    <w:p w14:paraId="077C2D5C">
      <w:pPr>
        <w:pStyle w:val="114"/>
        <w:numPr>
          <w:ilvl w:val="2"/>
          <w:numId w:val="38"/>
        </w:numPr>
        <w:spacing w:before="120" w:after="120"/>
        <w:rPr>
          <w:rFonts w:hint="eastAsia" w:hAnsi="黑体" w:cs="宋体"/>
          <w:szCs w:val="21"/>
        </w:rPr>
      </w:pPr>
      <w:bookmarkStart w:id="609" w:name="_Toc196411946"/>
      <w:bookmarkStart w:id="610" w:name="_Toc22416"/>
      <w:bookmarkStart w:id="611" w:name="_Toc13001"/>
      <w:bookmarkStart w:id="612" w:name="_Toc5982"/>
      <w:bookmarkStart w:id="613" w:name="_Toc17482"/>
      <w:bookmarkStart w:id="614" w:name="_Toc9149"/>
      <w:r>
        <w:rPr>
          <w:rFonts w:hint="eastAsia" w:hAnsi="黑体" w:cs="宋体"/>
          <w:szCs w:val="21"/>
        </w:rPr>
        <w:t>安装要求检查</w:t>
      </w:r>
      <w:bookmarkEnd w:id="609"/>
      <w:bookmarkEnd w:id="610"/>
      <w:bookmarkEnd w:id="611"/>
      <w:bookmarkEnd w:id="612"/>
      <w:bookmarkEnd w:id="613"/>
      <w:bookmarkEnd w:id="614"/>
    </w:p>
    <w:p w14:paraId="6B4740BC">
      <w:pPr>
        <w:pStyle w:val="114"/>
        <w:numPr>
          <w:ilvl w:val="3"/>
          <w:numId w:val="38"/>
        </w:numPr>
        <w:spacing w:beforeLines="0" w:afterLines="0"/>
        <w:outlineLvl w:val="2"/>
        <w:rPr>
          <w:rFonts w:hint="eastAsia" w:ascii="宋体" w:hAnsi="宋体" w:eastAsia="宋体" w:cs="宋体"/>
        </w:rPr>
      </w:pPr>
      <w:bookmarkStart w:id="615" w:name="_Toc204448613"/>
      <w:bookmarkStart w:id="616" w:name="_Toc196300202"/>
      <w:bookmarkStart w:id="617" w:name="_Toc196411947"/>
      <w:r>
        <w:rPr>
          <w:rFonts w:hint="eastAsia" w:ascii="宋体" w:hAnsi="宋体" w:eastAsia="宋体" w:cs="宋体"/>
        </w:rPr>
        <w:t>按GB/T 7932的规定检查成套设备气动系统。</w:t>
      </w:r>
      <w:bookmarkEnd w:id="615"/>
    </w:p>
    <w:p w14:paraId="2EF451E5">
      <w:pPr>
        <w:pStyle w:val="114"/>
        <w:numPr>
          <w:ilvl w:val="3"/>
          <w:numId w:val="38"/>
        </w:numPr>
        <w:spacing w:beforeLines="0" w:afterLines="0"/>
        <w:outlineLvl w:val="2"/>
        <w:rPr>
          <w:rFonts w:hint="eastAsia" w:ascii="宋体" w:hAnsi="宋体" w:eastAsia="宋体" w:cs="宋体"/>
        </w:rPr>
      </w:pPr>
      <w:bookmarkStart w:id="618" w:name="_Toc204448614"/>
      <w:r>
        <w:rPr>
          <w:rFonts w:hint="eastAsia" w:ascii="宋体" w:hAnsi="宋体" w:eastAsia="宋体" w:cs="宋体"/>
        </w:rPr>
        <w:t>按GB/T 20801.5的规定检查成套设备水汽管路各管件的连接情况。</w:t>
      </w:r>
      <w:bookmarkEnd w:id="618"/>
    </w:p>
    <w:p w14:paraId="7C4837E6">
      <w:pPr>
        <w:pStyle w:val="114"/>
        <w:numPr>
          <w:ilvl w:val="3"/>
          <w:numId w:val="38"/>
        </w:numPr>
        <w:spacing w:beforeLines="0" w:afterLines="0"/>
        <w:outlineLvl w:val="2"/>
        <w:rPr>
          <w:rFonts w:hint="eastAsia" w:ascii="宋体" w:hAnsi="宋体" w:eastAsia="宋体" w:cs="宋体"/>
        </w:rPr>
      </w:pPr>
      <w:bookmarkStart w:id="619" w:name="_Toc204448615"/>
      <w:r>
        <w:rPr>
          <w:rFonts w:hint="eastAsia" w:ascii="宋体" w:hAnsi="宋体" w:eastAsia="宋体" w:cs="宋体"/>
        </w:rPr>
        <w:t>目测检查各设备之间的衔接。</w:t>
      </w:r>
      <w:bookmarkEnd w:id="619"/>
    </w:p>
    <w:bookmarkEnd w:id="616"/>
    <w:bookmarkEnd w:id="617"/>
    <w:p w14:paraId="33F59ECE">
      <w:pPr>
        <w:pStyle w:val="114"/>
        <w:numPr>
          <w:ilvl w:val="2"/>
          <w:numId w:val="38"/>
        </w:numPr>
        <w:spacing w:before="120" w:after="120"/>
        <w:rPr>
          <w:rFonts w:hint="eastAsia" w:hAnsi="黑体" w:cs="宋体"/>
          <w:szCs w:val="21"/>
        </w:rPr>
      </w:pPr>
      <w:bookmarkStart w:id="620" w:name="_Toc22418"/>
      <w:bookmarkStart w:id="621" w:name="_Toc26410"/>
      <w:bookmarkStart w:id="622" w:name="_Toc196411950"/>
      <w:bookmarkStart w:id="623" w:name="_Toc24534"/>
      <w:bookmarkStart w:id="624" w:name="_Toc5867"/>
      <w:bookmarkStart w:id="625" w:name="_Toc20077"/>
      <w:r>
        <w:rPr>
          <w:rFonts w:hint="eastAsia" w:hAnsi="黑体" w:cs="宋体"/>
          <w:szCs w:val="21"/>
        </w:rPr>
        <w:t>卫生安全要求检查</w:t>
      </w:r>
      <w:bookmarkEnd w:id="620"/>
      <w:bookmarkEnd w:id="621"/>
      <w:bookmarkEnd w:id="622"/>
      <w:bookmarkEnd w:id="623"/>
      <w:bookmarkEnd w:id="624"/>
      <w:bookmarkEnd w:id="625"/>
    </w:p>
    <w:p w14:paraId="6C4B3296">
      <w:pPr>
        <w:pStyle w:val="114"/>
        <w:numPr>
          <w:ilvl w:val="3"/>
          <w:numId w:val="38"/>
        </w:numPr>
        <w:spacing w:beforeLines="0" w:afterLines="0"/>
        <w:outlineLvl w:val="2"/>
        <w:rPr>
          <w:rFonts w:hint="eastAsia" w:ascii="宋体" w:hAnsi="宋体" w:eastAsia="宋体" w:cs="宋体"/>
          <w:color w:val="000000"/>
        </w:rPr>
      </w:pPr>
      <w:bookmarkStart w:id="626" w:name="_Toc196411951"/>
      <w:bookmarkStart w:id="627" w:name="_Toc14519"/>
      <w:bookmarkStart w:id="628" w:name="_Toc204448617"/>
      <w:bookmarkStart w:id="629" w:name="_Toc28480"/>
      <w:bookmarkStart w:id="630" w:name="_Toc196300206"/>
      <w:bookmarkStart w:id="631" w:name="_Toc9295"/>
      <w:bookmarkStart w:id="632" w:name="_Toc1045"/>
      <w:bookmarkStart w:id="633" w:name="_Toc19198"/>
      <w:bookmarkStart w:id="634" w:name="_Toc5410"/>
      <w:r>
        <w:rPr>
          <w:rFonts w:hint="eastAsia" w:ascii="宋体" w:hAnsi="宋体" w:eastAsia="宋体" w:cs="宋体"/>
        </w:rPr>
        <w:t>按GB 16798、GB/T 19891及GB 4806.1的规定</w:t>
      </w:r>
      <w:r>
        <w:rPr>
          <w:rFonts w:hint="eastAsia" w:ascii="宋体" w:hAnsi="宋体" w:eastAsia="宋体" w:cs="宋体"/>
          <w:color w:val="000000"/>
        </w:rPr>
        <w:t>检查成套设备机械结构的卫生情况。</w:t>
      </w:r>
      <w:bookmarkEnd w:id="626"/>
      <w:bookmarkEnd w:id="627"/>
      <w:bookmarkEnd w:id="628"/>
      <w:bookmarkEnd w:id="629"/>
      <w:bookmarkEnd w:id="630"/>
    </w:p>
    <w:bookmarkEnd w:id="631"/>
    <w:p w14:paraId="6F765E50">
      <w:pPr>
        <w:pStyle w:val="114"/>
        <w:numPr>
          <w:ilvl w:val="3"/>
          <w:numId w:val="38"/>
        </w:numPr>
        <w:spacing w:beforeLines="0" w:afterLines="0"/>
        <w:outlineLvl w:val="2"/>
        <w:rPr>
          <w:rFonts w:hint="eastAsia" w:ascii="宋体" w:hAnsi="宋体" w:eastAsia="宋体" w:cs="宋体"/>
          <w:color w:val="000000"/>
        </w:rPr>
      </w:pPr>
      <w:bookmarkStart w:id="635" w:name="_Toc204448618"/>
      <w:bookmarkStart w:id="636" w:name="_Toc13346"/>
      <w:bookmarkStart w:id="637" w:name="_Toc196300207"/>
      <w:bookmarkStart w:id="638" w:name="_Toc196411952"/>
      <w:bookmarkStart w:id="639" w:name="_Toc28087"/>
      <w:r>
        <w:rPr>
          <w:rFonts w:hint="eastAsia" w:ascii="宋体" w:hAnsi="宋体" w:eastAsia="宋体" w:cs="宋体"/>
          <w:color w:val="000000"/>
        </w:rPr>
        <w:t>目测或触摸检查设备润滑部位的渗（漏）油现象。</w:t>
      </w:r>
      <w:bookmarkEnd w:id="635"/>
      <w:bookmarkEnd w:id="636"/>
      <w:bookmarkEnd w:id="637"/>
      <w:bookmarkEnd w:id="638"/>
      <w:bookmarkEnd w:id="639"/>
    </w:p>
    <w:p w14:paraId="397FDCF1">
      <w:pPr>
        <w:pStyle w:val="114"/>
        <w:numPr>
          <w:ilvl w:val="3"/>
          <w:numId w:val="38"/>
        </w:numPr>
        <w:spacing w:beforeLines="0" w:afterLines="0"/>
        <w:outlineLvl w:val="2"/>
        <w:rPr>
          <w:rFonts w:hint="eastAsia" w:ascii="宋体" w:hAnsi="宋体" w:eastAsia="宋体" w:cs="宋体"/>
          <w:color w:val="000000"/>
        </w:rPr>
      </w:pPr>
      <w:bookmarkStart w:id="640" w:name="_Toc196411953"/>
      <w:bookmarkStart w:id="641" w:name="_Toc11217"/>
      <w:bookmarkStart w:id="642" w:name="_Toc26876"/>
      <w:bookmarkStart w:id="643" w:name="_Toc196300208"/>
      <w:bookmarkStart w:id="644" w:name="_Toc204448619"/>
      <w:r>
        <w:rPr>
          <w:rFonts w:hint="eastAsia" w:ascii="宋体" w:hAnsi="宋体" w:eastAsia="宋体" w:cs="宋体"/>
          <w:color w:val="000000"/>
        </w:rPr>
        <w:t>目测或触摸检查成套设备表面质量。</w:t>
      </w:r>
      <w:bookmarkEnd w:id="640"/>
      <w:bookmarkEnd w:id="641"/>
      <w:bookmarkEnd w:id="642"/>
      <w:bookmarkEnd w:id="643"/>
      <w:bookmarkEnd w:id="644"/>
    </w:p>
    <w:bookmarkEnd w:id="632"/>
    <w:bookmarkEnd w:id="633"/>
    <w:bookmarkEnd w:id="634"/>
    <w:p w14:paraId="69BFAAD5">
      <w:pPr>
        <w:pStyle w:val="114"/>
        <w:numPr>
          <w:ilvl w:val="2"/>
          <w:numId w:val="38"/>
        </w:numPr>
        <w:spacing w:before="120" w:after="120"/>
        <w:rPr>
          <w:rFonts w:hint="eastAsia" w:hAnsi="黑体" w:cs="宋体"/>
          <w:szCs w:val="21"/>
        </w:rPr>
      </w:pPr>
      <w:bookmarkStart w:id="645" w:name="_Toc8115"/>
      <w:bookmarkStart w:id="646" w:name="_Toc3585"/>
      <w:bookmarkStart w:id="647" w:name="_Toc20769"/>
      <w:bookmarkStart w:id="648" w:name="_Toc196411954"/>
      <w:bookmarkStart w:id="649" w:name="_Toc26763"/>
      <w:bookmarkStart w:id="650" w:name="_Toc7762"/>
      <w:r>
        <w:rPr>
          <w:rFonts w:hint="eastAsia" w:hAnsi="黑体" w:cs="宋体"/>
          <w:szCs w:val="21"/>
        </w:rPr>
        <w:t>机械安全要求检查</w:t>
      </w:r>
      <w:bookmarkEnd w:id="645"/>
      <w:bookmarkEnd w:id="646"/>
      <w:bookmarkEnd w:id="647"/>
      <w:bookmarkEnd w:id="648"/>
      <w:bookmarkEnd w:id="649"/>
      <w:bookmarkEnd w:id="650"/>
    </w:p>
    <w:p w14:paraId="24411A03">
      <w:pPr>
        <w:pStyle w:val="114"/>
        <w:numPr>
          <w:ilvl w:val="3"/>
          <w:numId w:val="38"/>
        </w:numPr>
        <w:spacing w:beforeLines="0" w:afterLines="0"/>
        <w:outlineLvl w:val="2"/>
        <w:rPr>
          <w:rFonts w:hint="eastAsia" w:ascii="宋体" w:hAnsi="宋体" w:eastAsia="宋体" w:cs="宋体"/>
        </w:rPr>
      </w:pPr>
      <w:bookmarkStart w:id="651" w:name="_Toc196411955"/>
      <w:bookmarkStart w:id="652" w:name="_Toc196300210"/>
      <w:bookmarkStart w:id="653" w:name="_Toc204448621"/>
      <w:bookmarkStart w:id="654" w:name="_Toc24866"/>
      <w:bookmarkStart w:id="655" w:name="_Toc26470"/>
      <w:r>
        <w:rPr>
          <w:rFonts w:hint="eastAsia" w:ascii="宋体" w:hAnsi="宋体" w:eastAsia="宋体" w:cs="宋体"/>
        </w:rPr>
        <w:t>按GB/T 15706的规定对成套设备进行风险评估。</w:t>
      </w:r>
      <w:bookmarkEnd w:id="651"/>
      <w:bookmarkEnd w:id="652"/>
      <w:bookmarkEnd w:id="653"/>
    </w:p>
    <w:p w14:paraId="43B7C8FE">
      <w:pPr>
        <w:pStyle w:val="114"/>
        <w:numPr>
          <w:ilvl w:val="3"/>
          <w:numId w:val="38"/>
        </w:numPr>
        <w:spacing w:beforeLines="0" w:afterLines="0"/>
        <w:outlineLvl w:val="2"/>
        <w:rPr>
          <w:rFonts w:hint="eastAsia" w:ascii="宋体" w:hAnsi="宋体" w:eastAsia="宋体" w:cs="宋体"/>
        </w:rPr>
      </w:pPr>
      <w:bookmarkStart w:id="656" w:name="_Toc204448622"/>
      <w:r>
        <w:rPr>
          <w:rFonts w:hint="eastAsia" w:ascii="宋体" w:hAnsi="宋体" w:eastAsia="宋体" w:cs="宋体"/>
        </w:rPr>
        <w:t>按GB/T 8196的规定检查成套设备的防护装置。</w:t>
      </w:r>
      <w:bookmarkEnd w:id="656"/>
    </w:p>
    <w:p w14:paraId="6B5A8F83">
      <w:pPr>
        <w:pStyle w:val="114"/>
        <w:numPr>
          <w:ilvl w:val="3"/>
          <w:numId w:val="38"/>
        </w:numPr>
        <w:spacing w:beforeLines="0" w:afterLines="0"/>
        <w:outlineLvl w:val="2"/>
        <w:rPr>
          <w:rFonts w:hint="eastAsia" w:ascii="宋体" w:hAnsi="宋体" w:eastAsia="宋体" w:cs="宋体"/>
        </w:rPr>
      </w:pPr>
      <w:bookmarkStart w:id="657" w:name="_Toc204448623"/>
      <w:bookmarkStart w:id="658" w:name="_Toc196411956"/>
      <w:bookmarkStart w:id="659" w:name="_Toc196300211"/>
      <w:r>
        <w:rPr>
          <w:rFonts w:hint="eastAsia" w:ascii="宋体" w:hAnsi="宋体" w:eastAsia="宋体" w:cs="宋体"/>
        </w:rPr>
        <w:t>目测或触摸检查成套设备外表面质量。</w:t>
      </w:r>
      <w:bookmarkEnd w:id="657"/>
    </w:p>
    <w:p w14:paraId="38D9E955">
      <w:pPr>
        <w:pStyle w:val="114"/>
        <w:numPr>
          <w:ilvl w:val="3"/>
          <w:numId w:val="38"/>
        </w:numPr>
        <w:spacing w:beforeLines="0" w:afterLines="0"/>
        <w:outlineLvl w:val="2"/>
        <w:rPr>
          <w:rFonts w:hint="eastAsia" w:ascii="宋体" w:hAnsi="宋体" w:eastAsia="宋体" w:cs="宋体"/>
        </w:rPr>
      </w:pPr>
      <w:bookmarkStart w:id="660" w:name="_Toc204448624"/>
      <w:r>
        <w:rPr>
          <w:rFonts w:hint="eastAsia" w:ascii="宋体" w:hAnsi="宋体" w:eastAsia="宋体" w:cs="宋体"/>
        </w:rPr>
        <w:t>按GB 2894的规定检查成套设备的安全警示标志。</w:t>
      </w:r>
      <w:bookmarkEnd w:id="660"/>
    </w:p>
    <w:p w14:paraId="75357263">
      <w:pPr>
        <w:pStyle w:val="114"/>
        <w:numPr>
          <w:ilvl w:val="3"/>
          <w:numId w:val="38"/>
        </w:numPr>
        <w:spacing w:beforeLines="0" w:afterLines="0"/>
        <w:outlineLvl w:val="2"/>
        <w:rPr>
          <w:rFonts w:hint="eastAsia" w:ascii="宋体" w:hAnsi="宋体" w:eastAsia="宋体" w:cs="宋体"/>
        </w:rPr>
      </w:pPr>
      <w:bookmarkStart w:id="661" w:name="_Toc204448625"/>
      <w:r>
        <w:rPr>
          <w:rFonts w:hint="eastAsia" w:ascii="宋体" w:hAnsi="宋体" w:eastAsia="宋体" w:cs="宋体"/>
        </w:rPr>
        <w:t>目测和触摸检查成套设备的联接情况。</w:t>
      </w:r>
      <w:bookmarkEnd w:id="654"/>
      <w:bookmarkEnd w:id="655"/>
      <w:bookmarkEnd w:id="658"/>
      <w:bookmarkEnd w:id="659"/>
      <w:bookmarkEnd w:id="661"/>
    </w:p>
    <w:p w14:paraId="4240174C">
      <w:pPr>
        <w:pStyle w:val="114"/>
        <w:numPr>
          <w:ilvl w:val="3"/>
          <w:numId w:val="38"/>
        </w:numPr>
        <w:spacing w:beforeLines="0" w:afterLines="0"/>
        <w:outlineLvl w:val="2"/>
        <w:rPr>
          <w:rFonts w:hint="eastAsia" w:ascii="宋体" w:hAnsi="宋体" w:eastAsia="宋体" w:cs="宋体"/>
        </w:rPr>
      </w:pPr>
      <w:bookmarkStart w:id="662" w:name="_Toc204448626"/>
      <w:r>
        <w:rPr>
          <w:rFonts w:hint="eastAsia" w:ascii="宋体" w:hAnsi="宋体" w:eastAsia="宋体" w:cs="宋体"/>
        </w:rPr>
        <w:t>用精度不低于±</w:t>
      </w:r>
      <w:r>
        <w:rPr>
          <w:rFonts w:ascii="宋体" w:hAnsi="宋体" w:eastAsia="宋体" w:cs="宋体"/>
        </w:rPr>
        <w:t xml:space="preserve">1 </w:t>
      </w:r>
      <w:r>
        <w:rPr>
          <w:rFonts w:hint="eastAsia" w:ascii="宋体" w:hAnsi="宋体" w:eastAsia="宋体" w:cs="宋体"/>
        </w:rPr>
        <w:t>℃的测温仪器分别测量环境温度、轴承座或端盖温度，并计算轴承温升。</w:t>
      </w:r>
      <w:bookmarkEnd w:id="662"/>
    </w:p>
    <w:p w14:paraId="1DEA8900">
      <w:pPr>
        <w:pStyle w:val="114"/>
        <w:numPr>
          <w:ilvl w:val="2"/>
          <w:numId w:val="38"/>
        </w:numPr>
        <w:spacing w:before="120" w:after="120"/>
        <w:rPr>
          <w:rFonts w:hint="eastAsia" w:hAnsi="黑体" w:cs="宋体"/>
          <w:szCs w:val="21"/>
        </w:rPr>
      </w:pPr>
      <w:bookmarkStart w:id="663" w:name="_Toc8658"/>
      <w:bookmarkStart w:id="664" w:name="_Toc4086"/>
      <w:bookmarkStart w:id="665" w:name="_Toc196411962"/>
      <w:bookmarkStart w:id="666" w:name="_Toc11681"/>
      <w:bookmarkStart w:id="667" w:name="_Toc28996"/>
      <w:bookmarkStart w:id="668" w:name="_Toc19187"/>
      <w:r>
        <w:rPr>
          <w:rFonts w:hint="eastAsia" w:hAnsi="黑体" w:cs="宋体"/>
          <w:szCs w:val="21"/>
        </w:rPr>
        <w:t>电气安全要求检查</w:t>
      </w:r>
      <w:bookmarkEnd w:id="663"/>
      <w:bookmarkEnd w:id="664"/>
      <w:bookmarkEnd w:id="665"/>
      <w:bookmarkEnd w:id="666"/>
      <w:bookmarkEnd w:id="667"/>
      <w:bookmarkEnd w:id="668"/>
    </w:p>
    <w:p w14:paraId="68274EE0">
      <w:pPr>
        <w:pStyle w:val="114"/>
        <w:numPr>
          <w:ilvl w:val="3"/>
          <w:numId w:val="38"/>
        </w:numPr>
        <w:spacing w:beforeLines="0" w:afterLines="0"/>
        <w:outlineLvl w:val="2"/>
        <w:rPr>
          <w:rFonts w:hint="eastAsia" w:ascii="宋体" w:hAnsi="宋体" w:eastAsia="宋体" w:cs="宋体"/>
        </w:rPr>
      </w:pPr>
      <w:bookmarkStart w:id="669" w:name="_Toc204448628"/>
      <w:bookmarkStart w:id="670" w:name="_Toc196300218"/>
      <w:bookmarkStart w:id="671" w:name="_Toc196411963"/>
      <w:r>
        <w:rPr>
          <w:rFonts w:hint="eastAsia" w:ascii="宋体" w:hAnsi="宋体" w:eastAsia="宋体" w:cs="宋体"/>
        </w:rPr>
        <w:t>按GB/T 5226.1的规定检查成套设备的电气安全，进行电阻试验和耐压试验。</w:t>
      </w:r>
      <w:bookmarkEnd w:id="669"/>
    </w:p>
    <w:p w14:paraId="479489CE">
      <w:pPr>
        <w:pStyle w:val="114"/>
        <w:numPr>
          <w:ilvl w:val="3"/>
          <w:numId w:val="38"/>
        </w:numPr>
        <w:spacing w:beforeLines="0" w:afterLines="0"/>
        <w:outlineLvl w:val="2"/>
        <w:rPr>
          <w:rFonts w:hint="eastAsia" w:ascii="宋体" w:hAnsi="宋体" w:eastAsia="宋体" w:cs="宋体"/>
        </w:rPr>
      </w:pPr>
      <w:bookmarkStart w:id="672" w:name="_Toc204448629"/>
      <w:r>
        <w:rPr>
          <w:rFonts w:hint="eastAsia" w:ascii="宋体" w:hAnsi="宋体" w:eastAsia="宋体" w:cs="宋体"/>
        </w:rPr>
        <w:t>目测检查导线保护情况及电气控制系统。</w:t>
      </w:r>
      <w:bookmarkEnd w:id="672"/>
    </w:p>
    <w:p w14:paraId="16639282">
      <w:pPr>
        <w:pStyle w:val="114"/>
        <w:numPr>
          <w:ilvl w:val="3"/>
          <w:numId w:val="38"/>
        </w:numPr>
        <w:spacing w:beforeLines="0" w:afterLines="0"/>
        <w:outlineLvl w:val="2"/>
        <w:rPr>
          <w:rFonts w:hint="eastAsia" w:ascii="宋体" w:hAnsi="宋体" w:eastAsia="宋体" w:cs="宋体"/>
        </w:rPr>
      </w:pPr>
      <w:bookmarkStart w:id="673" w:name="_Toc204448630"/>
      <w:r>
        <w:rPr>
          <w:rFonts w:hint="eastAsia" w:ascii="宋体" w:hAnsi="宋体" w:eastAsia="宋体" w:cs="宋体"/>
        </w:rPr>
        <w:t>按GB 4706.1的规定检测成套设备的接地电阻。</w:t>
      </w:r>
      <w:bookmarkEnd w:id="673"/>
    </w:p>
    <w:p w14:paraId="23A0C4DB">
      <w:pPr>
        <w:pStyle w:val="114"/>
        <w:numPr>
          <w:ilvl w:val="3"/>
          <w:numId w:val="38"/>
        </w:numPr>
        <w:spacing w:beforeLines="0" w:afterLines="0"/>
        <w:outlineLvl w:val="2"/>
        <w:rPr>
          <w:rFonts w:hint="eastAsia" w:ascii="宋体" w:hAnsi="宋体" w:eastAsia="宋体" w:cs="宋体"/>
        </w:rPr>
      </w:pPr>
      <w:bookmarkStart w:id="674" w:name="_Toc204448631"/>
      <w:r>
        <w:rPr>
          <w:rFonts w:hint="eastAsia" w:ascii="宋体" w:hAnsi="宋体" w:eastAsia="宋体" w:cs="宋体"/>
        </w:rPr>
        <w:t>按GB/T 5226.1的规定检测成套设备的绝缘电阻。</w:t>
      </w:r>
      <w:bookmarkEnd w:id="674"/>
    </w:p>
    <w:p w14:paraId="5E956A18">
      <w:pPr>
        <w:pStyle w:val="114"/>
        <w:numPr>
          <w:ilvl w:val="3"/>
          <w:numId w:val="38"/>
        </w:numPr>
        <w:spacing w:beforeLines="0" w:afterLines="0"/>
        <w:outlineLvl w:val="2"/>
        <w:rPr>
          <w:rFonts w:hint="eastAsia" w:ascii="宋体" w:hAnsi="宋体" w:eastAsia="宋体" w:cs="宋体"/>
        </w:rPr>
      </w:pPr>
      <w:bookmarkStart w:id="675" w:name="_Toc204448632"/>
      <w:r>
        <w:rPr>
          <w:rFonts w:hint="eastAsia" w:ascii="宋体" w:hAnsi="宋体" w:eastAsia="宋体" w:cs="宋体"/>
        </w:rPr>
        <w:t>按GB/T 5226.1的规定进行耐压试验。</w:t>
      </w:r>
      <w:bookmarkEnd w:id="675"/>
    </w:p>
    <w:p w14:paraId="1F3A9E2F">
      <w:pPr>
        <w:pStyle w:val="114"/>
        <w:numPr>
          <w:ilvl w:val="3"/>
          <w:numId w:val="38"/>
        </w:numPr>
        <w:spacing w:beforeLines="0" w:afterLines="0"/>
        <w:outlineLvl w:val="2"/>
        <w:rPr>
          <w:rFonts w:hint="eastAsia" w:ascii="宋体" w:hAnsi="宋体" w:eastAsia="宋体" w:cs="宋体"/>
        </w:rPr>
      </w:pPr>
      <w:bookmarkStart w:id="676" w:name="_Toc204448633"/>
      <w:r>
        <w:rPr>
          <w:rFonts w:hint="eastAsia" w:ascii="宋体" w:hAnsi="宋体" w:eastAsia="宋体" w:cs="宋体"/>
        </w:rPr>
        <w:t>按GB/T 4208的规定检查成套设备的防护装置及防护等级</w:t>
      </w:r>
      <w:bookmarkEnd w:id="670"/>
      <w:bookmarkEnd w:id="671"/>
      <w:bookmarkStart w:id="677" w:name="_Toc196300221"/>
      <w:bookmarkStart w:id="678" w:name="_Toc196411966"/>
      <w:r>
        <w:rPr>
          <w:rFonts w:hint="eastAsia" w:ascii="宋体" w:hAnsi="宋体" w:eastAsia="宋体" w:cs="宋体"/>
          <w:szCs w:val="21"/>
        </w:rPr>
        <w:t>。</w:t>
      </w:r>
      <w:bookmarkEnd w:id="676"/>
      <w:bookmarkEnd w:id="677"/>
      <w:bookmarkEnd w:id="678"/>
    </w:p>
    <w:p w14:paraId="12B0EB64">
      <w:pPr>
        <w:pStyle w:val="114"/>
        <w:numPr>
          <w:ilvl w:val="2"/>
          <w:numId w:val="38"/>
        </w:numPr>
        <w:spacing w:before="120" w:after="120"/>
        <w:rPr>
          <w:rFonts w:hint="eastAsia" w:hAnsi="黑体" w:cs="宋体"/>
          <w:szCs w:val="21"/>
        </w:rPr>
      </w:pPr>
      <w:bookmarkStart w:id="679" w:name="_Toc14213"/>
      <w:bookmarkStart w:id="680" w:name="_Toc21094"/>
      <w:bookmarkStart w:id="681" w:name="_Toc196411967"/>
      <w:bookmarkStart w:id="682" w:name="_Toc13016"/>
      <w:bookmarkStart w:id="683" w:name="_Toc15129"/>
      <w:bookmarkStart w:id="684" w:name="_Toc2961"/>
      <w:r>
        <w:rPr>
          <w:rFonts w:hint="eastAsia" w:hAnsi="黑体" w:cs="宋体"/>
          <w:szCs w:val="21"/>
        </w:rPr>
        <w:t>成（配）套性检查</w:t>
      </w:r>
      <w:bookmarkEnd w:id="679"/>
      <w:bookmarkEnd w:id="680"/>
      <w:bookmarkEnd w:id="681"/>
      <w:bookmarkEnd w:id="682"/>
      <w:bookmarkEnd w:id="683"/>
      <w:bookmarkEnd w:id="684"/>
    </w:p>
    <w:p w14:paraId="1BEE3925">
      <w:pPr>
        <w:pStyle w:val="114"/>
        <w:numPr>
          <w:ilvl w:val="3"/>
          <w:numId w:val="38"/>
        </w:numPr>
        <w:spacing w:beforeLines="0" w:afterLines="0"/>
        <w:outlineLvl w:val="2"/>
        <w:rPr>
          <w:rFonts w:hint="eastAsia" w:ascii="宋体" w:hAnsi="宋体" w:eastAsia="宋体" w:cs="宋体"/>
          <w:szCs w:val="24"/>
        </w:rPr>
      </w:pPr>
      <w:bookmarkStart w:id="685" w:name="_Toc204448635"/>
      <w:bookmarkStart w:id="686" w:name="_Toc196300223"/>
      <w:bookmarkStart w:id="687" w:name="_Toc196411968"/>
      <w:r>
        <w:rPr>
          <w:rFonts w:hint="eastAsia" w:ascii="宋体" w:hAnsi="宋体" w:eastAsia="宋体" w:cs="宋体"/>
          <w:szCs w:val="24"/>
        </w:rPr>
        <w:t>计算检查成套设备中各单机的产能配套系数。</w:t>
      </w:r>
      <w:bookmarkEnd w:id="685"/>
      <w:bookmarkEnd w:id="686"/>
      <w:bookmarkEnd w:id="687"/>
    </w:p>
    <w:p w14:paraId="7AEDD44C">
      <w:pPr>
        <w:pStyle w:val="114"/>
        <w:numPr>
          <w:ilvl w:val="3"/>
          <w:numId w:val="38"/>
        </w:numPr>
        <w:spacing w:beforeLines="0" w:afterLines="0"/>
        <w:outlineLvl w:val="2"/>
        <w:rPr>
          <w:rFonts w:hint="eastAsia" w:ascii="宋体" w:hAnsi="宋体" w:eastAsia="宋体" w:cs="宋体"/>
        </w:rPr>
      </w:pPr>
      <w:bookmarkStart w:id="688" w:name="_Toc196411969"/>
      <w:bookmarkStart w:id="689" w:name="_Toc204448636"/>
      <w:bookmarkStart w:id="690" w:name="_Toc196300224"/>
      <w:r>
        <w:rPr>
          <w:rFonts w:hint="eastAsia" w:ascii="宋体" w:hAnsi="宋体" w:eastAsia="宋体" w:cs="宋体"/>
          <w:szCs w:val="24"/>
        </w:rPr>
        <w:t>检查各单机设备的技术文件。</w:t>
      </w:r>
      <w:bookmarkEnd w:id="688"/>
      <w:bookmarkEnd w:id="689"/>
      <w:bookmarkEnd w:id="690"/>
    </w:p>
    <w:bookmarkEnd w:id="544"/>
    <w:bookmarkEnd w:id="545"/>
    <w:p w14:paraId="0494E5A7">
      <w:pPr>
        <w:pStyle w:val="114"/>
        <w:numPr>
          <w:ilvl w:val="2"/>
          <w:numId w:val="38"/>
        </w:numPr>
        <w:spacing w:before="120" w:after="120"/>
        <w:rPr>
          <w:rFonts w:hint="eastAsia" w:hAnsi="黑体" w:cs="宋体"/>
          <w:szCs w:val="21"/>
        </w:rPr>
      </w:pPr>
      <w:bookmarkStart w:id="691" w:name="_Toc10386"/>
      <w:bookmarkStart w:id="692" w:name="_Toc85527778"/>
      <w:bookmarkStart w:id="693" w:name="_Toc77186072"/>
      <w:bookmarkStart w:id="694" w:name="_Toc10589"/>
      <w:bookmarkStart w:id="695" w:name="_Toc1254"/>
      <w:bookmarkStart w:id="696" w:name="_Toc25140"/>
      <w:bookmarkStart w:id="697" w:name="_Toc94259975"/>
      <w:bookmarkStart w:id="698" w:name="_Toc196411994"/>
      <w:bookmarkStart w:id="699" w:name="_Toc25575"/>
      <w:bookmarkStart w:id="700" w:name="_Hlk107127672"/>
      <w:r>
        <w:rPr>
          <w:rFonts w:hint="eastAsia" w:hAnsi="黑体" w:cs="宋体"/>
          <w:szCs w:val="21"/>
        </w:rPr>
        <w:t>性能试验</w:t>
      </w:r>
      <w:bookmarkEnd w:id="691"/>
      <w:bookmarkEnd w:id="692"/>
      <w:bookmarkEnd w:id="693"/>
      <w:bookmarkEnd w:id="694"/>
      <w:bookmarkEnd w:id="695"/>
      <w:bookmarkEnd w:id="696"/>
      <w:bookmarkEnd w:id="697"/>
      <w:bookmarkEnd w:id="698"/>
      <w:bookmarkEnd w:id="699"/>
    </w:p>
    <w:p w14:paraId="011A39B7">
      <w:pPr>
        <w:pStyle w:val="114"/>
        <w:numPr>
          <w:ilvl w:val="3"/>
          <w:numId w:val="38"/>
        </w:numPr>
        <w:spacing w:before="120" w:after="120"/>
        <w:outlineLvl w:val="2"/>
      </w:pPr>
      <w:bookmarkStart w:id="701" w:name="_Toc3151"/>
      <w:bookmarkStart w:id="702" w:name="_Toc29093"/>
      <w:bookmarkStart w:id="703" w:name="_Toc204448638"/>
      <w:bookmarkStart w:id="704" w:name="_Toc27628"/>
      <w:bookmarkStart w:id="705" w:name="_Toc18298"/>
      <w:bookmarkStart w:id="706" w:name="_Toc196411995"/>
      <w:r>
        <w:rPr>
          <w:rFonts w:hint="eastAsia"/>
        </w:rPr>
        <w:t>空载试验</w:t>
      </w:r>
      <w:bookmarkEnd w:id="701"/>
      <w:bookmarkEnd w:id="702"/>
      <w:bookmarkEnd w:id="703"/>
      <w:bookmarkEnd w:id="704"/>
      <w:bookmarkEnd w:id="705"/>
      <w:bookmarkEnd w:id="706"/>
    </w:p>
    <w:p w14:paraId="20128FC2">
      <w:pPr>
        <w:pStyle w:val="65"/>
        <w:ind w:firstLine="420"/>
        <w:rPr>
          <w:rFonts w:hint="eastAsia" w:hAnsi="宋体" w:cs="宋体"/>
        </w:rPr>
      </w:pPr>
      <w:r>
        <w:rPr>
          <w:rFonts w:hint="eastAsia" w:hAnsi="宋体" w:cs="宋体"/>
          <w:color w:val="000000"/>
        </w:rPr>
        <w:t>成套设备安装完成后，按操作和维护手册进行空载试验，设备主运动机构连续运动时间不少于120 min，检查设备运转情况和工作稳定性，包括启动、停止动作的灵活性，操作开关、报警装置的可靠性等。</w:t>
      </w:r>
    </w:p>
    <w:bookmarkEnd w:id="700"/>
    <w:p w14:paraId="016534D2">
      <w:pPr>
        <w:numPr>
          <w:ilvl w:val="3"/>
          <w:numId w:val="38"/>
        </w:numPr>
        <w:adjustRightInd/>
        <w:spacing w:before="120" w:beforeLines="50" w:after="120" w:afterLines="50" w:line="240" w:lineRule="auto"/>
        <w:jc w:val="both"/>
        <w:outlineLvl w:val="2"/>
        <w:rPr>
          <w:rFonts w:hint="eastAsia" w:ascii="黑体" w:hAnsi="黑体" w:eastAsia="黑体" w:cs="宋体"/>
          <w:kern w:val="0"/>
        </w:rPr>
      </w:pPr>
      <w:bookmarkStart w:id="707" w:name="_Toc6964"/>
      <w:bookmarkStart w:id="708" w:name="_Toc30861"/>
      <w:r>
        <w:rPr>
          <w:rFonts w:hint="eastAsia" w:ascii="黑体" w:hAnsi="黑体" w:eastAsia="黑体" w:cs="宋体"/>
          <w:kern w:val="0"/>
        </w:rPr>
        <w:t>负载试验</w:t>
      </w:r>
      <w:bookmarkEnd w:id="707"/>
      <w:bookmarkEnd w:id="708"/>
    </w:p>
    <w:p w14:paraId="1BF468D0">
      <w:pPr>
        <w:numPr>
          <w:ilvl w:val="255"/>
          <w:numId w:val="0"/>
        </w:numPr>
        <w:autoSpaceDE w:val="0"/>
        <w:autoSpaceDN w:val="0"/>
        <w:adjustRightInd/>
        <w:spacing w:line="240" w:lineRule="auto"/>
        <w:ind w:firstLine="420" w:firstLineChars="200"/>
        <w:jc w:val="both"/>
        <w:rPr>
          <w:rFonts w:hint="eastAsia" w:ascii="宋体" w:hAnsi="宋体" w:cs="宋体"/>
          <w:kern w:val="0"/>
        </w:rPr>
      </w:pPr>
      <w:r>
        <w:rPr>
          <w:rFonts w:hint="eastAsia" w:ascii="宋体" w:hAnsi="宋体" w:cs="宋体"/>
          <w:kern w:val="0"/>
        </w:rPr>
        <w:t>成套设备经过空载试验后，按操作和维护手册进行负载试验，负载试验时间不少于120 min。检验设备在满负荷条件下运行的平稳性及可靠性，操作开关、报警装置、过载保护装置和噪声隔离装置的可靠性，所有联动机构和有关电气、气动、润滑等系统及安全卫生防护的可靠性，执行动作的准确性及性能参数指标等。</w:t>
      </w:r>
    </w:p>
    <w:p w14:paraId="1901AA8B">
      <w:pPr>
        <w:numPr>
          <w:ilvl w:val="3"/>
          <w:numId w:val="38"/>
        </w:numPr>
        <w:adjustRightInd/>
        <w:spacing w:before="120" w:beforeLines="50" w:after="120" w:afterLines="50" w:line="240" w:lineRule="auto"/>
        <w:jc w:val="both"/>
        <w:outlineLvl w:val="2"/>
        <w:rPr>
          <w:rFonts w:hint="eastAsia" w:ascii="黑体" w:hAnsi="黑体" w:eastAsia="黑体" w:cs="宋体"/>
          <w:kern w:val="0"/>
        </w:rPr>
      </w:pPr>
      <w:bookmarkStart w:id="709" w:name="_Toc16399"/>
      <w:bookmarkStart w:id="710" w:name="_Toc6549"/>
      <w:r>
        <w:rPr>
          <w:rFonts w:hint="eastAsia" w:ascii="黑体" w:hAnsi="黑体" w:eastAsia="黑体" w:cs="宋体"/>
          <w:kern w:val="0"/>
        </w:rPr>
        <w:t>生产能力试验</w:t>
      </w:r>
      <w:bookmarkEnd w:id="709"/>
      <w:bookmarkEnd w:id="710"/>
    </w:p>
    <w:p w14:paraId="1B6DC369">
      <w:pPr>
        <w:pStyle w:val="65"/>
        <w:ind w:firstLine="420"/>
        <w:rPr>
          <w:rFonts w:hint="eastAsia" w:hAnsi="宋体" w:cs="宋体"/>
          <w:szCs w:val="21"/>
        </w:rPr>
      </w:pPr>
      <w:bookmarkStart w:id="711" w:name="OLE_LINK46"/>
      <w:r>
        <w:rPr>
          <w:rFonts w:hint="eastAsia" w:hAnsi="宋体" w:cs="宋体"/>
          <w:szCs w:val="21"/>
        </w:rPr>
        <w:t>成套设备以额定生产能力正常运行时，随机连续抽取不少于10 min的速冻薯条成品，按公式（5）计算生产能力，</w:t>
      </w:r>
      <w:bookmarkStart w:id="712" w:name="_Hlk114737009"/>
      <w:r>
        <w:rPr>
          <w:rFonts w:hint="eastAsia" w:hAnsi="宋体" w:cs="宋体"/>
          <w:szCs w:val="21"/>
        </w:rPr>
        <w:t>重复进行三次</w:t>
      </w:r>
      <w:bookmarkEnd w:id="712"/>
      <w:r>
        <w:rPr>
          <w:rFonts w:hint="eastAsia" w:hAnsi="宋体" w:cs="宋体"/>
          <w:szCs w:val="21"/>
        </w:rPr>
        <w:t>。</w:t>
      </w:r>
      <w:bookmarkStart w:id="713" w:name="_Hlk204350975"/>
    </w:p>
    <w:p w14:paraId="025828D3">
      <w:pPr>
        <w:tabs>
          <w:tab w:val="center" w:leader="middleDot" w:pos="5250"/>
          <w:tab w:val="center" w:pos="31680"/>
        </w:tabs>
        <w:autoSpaceDE w:val="0"/>
        <w:autoSpaceDN w:val="0"/>
        <w:adjustRightInd/>
        <w:spacing w:line="240" w:lineRule="auto"/>
        <w:ind w:firstLine="420"/>
        <w:jc w:val="right"/>
        <w:rPr>
          <w:rFonts w:ascii="Times New Roman" w:hAnsi="Times New Roman"/>
          <w:kern w:val="0"/>
        </w:rPr>
      </w:pPr>
      <m:oMath>
        <m:r>
          <m:rPr/>
          <w:rPr>
            <w:rFonts w:hint="eastAsia" w:ascii="Cambria Math" w:hAnsi="Cambria Math"/>
          </w:rPr>
          <m:t>G</m:t>
        </m:r>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3</m:t>
                </m:r>
                <m:ctrlPr>
                  <w:rPr>
                    <w:rFonts w:ascii="Cambria Math" w:hAnsi="Cambria Math"/>
                    <w:i/>
                  </w:rPr>
                </m:ctrlPr>
              </m:sub>
            </m:sSub>
            <m:r>
              <m:rPr/>
              <w:rPr>
                <w:rFonts w:ascii="Cambria Math" w:hAnsi="Cambria Math"/>
              </w:rPr>
              <m:t>×60</m:t>
            </m:r>
            <m:ctrlPr>
              <w:rPr>
                <w:rFonts w:ascii="Cambria Math" w:hAnsi="Cambria Math"/>
                <w:i/>
              </w:rPr>
            </m:ctrlPr>
          </m:num>
          <m:den>
            <m:r>
              <m:rPr/>
              <w:rPr>
                <w:rFonts w:ascii="Cambria Math" w:hAnsi="Cambria Math"/>
              </w:rPr>
              <m:t>T</m:t>
            </m:r>
            <m:ctrlPr>
              <w:rPr>
                <w:rFonts w:ascii="Cambria Math" w:hAnsi="Cambria Math"/>
                <w:i/>
              </w:rPr>
            </m:ctrlPr>
          </m:den>
        </m:f>
      </m:oMath>
      <w:r>
        <w:rPr>
          <w:rFonts w:ascii="Times New Roman" w:hAnsi="Times New Roman"/>
          <w:color w:val="000000" w:themeColor="text1"/>
          <w14:textFill>
            <w14:solidFill>
              <w14:schemeClr w14:val="tx1"/>
            </w14:solidFill>
          </w14:textFill>
        </w:rPr>
        <w:tab/>
      </w:r>
      <w:r>
        <w:rPr>
          <w:rFonts w:hint="eastAsia" w:ascii="Times New Roman" w:hAnsi="Times New Roman"/>
        </w:rPr>
        <w:t>（5）</w:t>
      </w:r>
    </w:p>
    <w:p w14:paraId="048EC427">
      <w:pPr>
        <w:pStyle w:val="65"/>
        <w:ind w:firstLine="420"/>
        <w:rPr>
          <w:rFonts w:hint="eastAsia" w:hAnsi="宋体" w:cs="宋体"/>
          <w:szCs w:val="21"/>
        </w:rPr>
      </w:pPr>
      <w:r>
        <w:rPr>
          <w:rFonts w:hint="eastAsia" w:hAnsi="宋体" w:cs="宋体"/>
          <w:szCs w:val="21"/>
        </w:rPr>
        <w:t>式中：</w:t>
      </w:r>
    </w:p>
    <w:p w14:paraId="5EC48742">
      <w:pPr>
        <w:pStyle w:val="65"/>
        <w:ind w:firstLine="420"/>
        <w:rPr>
          <w:rFonts w:hint="eastAsia" w:hAnsi="宋体" w:cs="宋体"/>
          <w:szCs w:val="21"/>
        </w:rPr>
      </w:pPr>
      <w:r>
        <w:rPr>
          <w:rFonts w:ascii="Cambria Math" w:hAnsi="Cambria Math" w:cs="宋体"/>
          <w:i/>
          <w:szCs w:val="21"/>
        </w:rPr>
        <w:t>G</w:t>
      </w:r>
      <w:r>
        <w:rPr>
          <w:rFonts w:hint="eastAsia" w:hAnsi="宋体" w:cs="宋体"/>
          <w:szCs w:val="21"/>
        </w:rPr>
        <w:t>——成套设备生产能力，单位为千克每小时（kg/h）；</w:t>
      </w:r>
    </w:p>
    <w:p w14:paraId="57FB58D3">
      <w:pPr>
        <w:pStyle w:val="65"/>
        <w:ind w:firstLine="420"/>
        <w:rPr>
          <w:rFonts w:hint="eastAsia" w:hAnsi="宋体" w:cs="宋体"/>
          <w:szCs w:val="21"/>
        </w:rPr>
      </w:pPr>
      <m:oMath>
        <m:sSub>
          <m:sSubPr>
            <m:ctrlPr>
              <w:rPr>
                <w:rFonts w:hint="eastAsia" w:ascii="Cambria Math" w:hAnsi="Cambria Math" w:cs="宋体"/>
                <w:i/>
                <w:szCs w:val="21"/>
              </w:rPr>
            </m:ctrlPr>
          </m:sSubPr>
          <m:e>
            <m:r>
              <m:rPr/>
              <w:rPr>
                <w:rFonts w:hint="eastAsia" w:ascii="Cambria Math" w:hAnsi="Cambria Math" w:cs="宋体"/>
                <w:szCs w:val="21"/>
              </w:rPr>
              <m:t>M</m:t>
            </m:r>
            <m:ctrlPr>
              <w:rPr>
                <w:rFonts w:hint="eastAsia" w:ascii="Cambria Math" w:hAnsi="Cambria Math" w:cs="宋体"/>
                <w:i/>
                <w:szCs w:val="21"/>
              </w:rPr>
            </m:ctrlPr>
          </m:e>
          <m:sub>
            <m:r>
              <m:rPr/>
              <w:rPr>
                <w:rFonts w:hint="eastAsia" w:ascii="Cambria Math" w:hAnsi="Cambria Math" w:cs="宋体"/>
                <w:szCs w:val="21"/>
              </w:rPr>
              <m:t>3</m:t>
            </m:r>
            <m:ctrlPr>
              <w:rPr>
                <w:rFonts w:hint="eastAsia" w:ascii="Cambria Math" w:hAnsi="Cambria Math" w:cs="宋体"/>
                <w:i/>
                <w:szCs w:val="21"/>
              </w:rPr>
            </m:ctrlPr>
          </m:sub>
        </m:sSub>
      </m:oMath>
      <w:r>
        <w:rPr>
          <w:rFonts w:hint="eastAsia" w:hAnsi="宋体" w:cs="宋体"/>
          <w:szCs w:val="21"/>
        </w:rPr>
        <w:t>——抽样时间段内生产的速冻薯条成品质量，单位为千克（kg）；</w:t>
      </w:r>
    </w:p>
    <w:p w14:paraId="64E443FA">
      <w:pPr>
        <w:pStyle w:val="65"/>
        <w:ind w:firstLine="420"/>
        <w:rPr>
          <w:rFonts w:hint="eastAsia" w:hAnsi="宋体" w:cs="宋体"/>
          <w:szCs w:val="21"/>
        </w:rPr>
      </w:pPr>
      <w:r>
        <w:rPr>
          <w:rFonts w:ascii="Cambria Math" w:hAnsi="Cambria Math" w:cs="宋体"/>
          <w:i/>
          <w:szCs w:val="21"/>
        </w:rPr>
        <w:t>T</w:t>
      </w:r>
      <w:r>
        <w:rPr>
          <w:rFonts w:hint="eastAsia" w:hAnsi="宋体" w:cs="宋体"/>
          <w:szCs w:val="21"/>
        </w:rPr>
        <w:t>——连续抽样时间，单位为分钟（min）。</w:t>
      </w:r>
    </w:p>
    <w:bookmarkEnd w:id="711"/>
    <w:bookmarkEnd w:id="713"/>
    <w:p w14:paraId="6DA26350">
      <w:pPr>
        <w:numPr>
          <w:ilvl w:val="3"/>
          <w:numId w:val="38"/>
        </w:numPr>
        <w:adjustRightInd/>
        <w:spacing w:before="120" w:beforeLines="50" w:after="120" w:afterLines="50" w:line="240" w:lineRule="auto"/>
        <w:jc w:val="both"/>
        <w:outlineLvl w:val="2"/>
        <w:rPr>
          <w:rFonts w:hint="eastAsia" w:ascii="黑体" w:hAnsi="黑体" w:eastAsia="黑体" w:cs="宋体"/>
          <w:kern w:val="0"/>
        </w:rPr>
      </w:pPr>
      <w:bookmarkStart w:id="714" w:name="_Toc3333"/>
      <w:bookmarkStart w:id="715" w:name="_Toc25913"/>
      <w:r>
        <w:rPr>
          <w:rFonts w:hint="eastAsia" w:ascii="黑体" w:hAnsi="黑体" w:eastAsia="黑体" w:cs="宋体"/>
          <w:kern w:val="0"/>
        </w:rPr>
        <w:t>生产效率试验</w:t>
      </w:r>
      <w:bookmarkEnd w:id="714"/>
      <w:bookmarkEnd w:id="715"/>
    </w:p>
    <w:p w14:paraId="25A32A5B">
      <w:pPr>
        <w:pStyle w:val="65"/>
        <w:ind w:firstLine="420"/>
        <w:rPr>
          <w:rFonts w:hint="eastAsia" w:hAnsi="宋体" w:cs="宋体"/>
          <w:szCs w:val="21"/>
        </w:rPr>
      </w:pPr>
      <w:r>
        <w:rPr>
          <w:rFonts w:hint="eastAsia" w:hAnsi="宋体" w:cs="宋体"/>
          <w:szCs w:val="21"/>
        </w:rPr>
        <w:t>在6.11.3试验的基础上，按公式（6）计算生产效率，重复进行三次。</w:t>
      </w:r>
      <w:bookmarkStart w:id="716" w:name="_Hlk204351519"/>
    </w:p>
    <w:p w14:paraId="190BAB0F">
      <w:pPr>
        <w:tabs>
          <w:tab w:val="center" w:leader="middleDot" w:pos="5250"/>
          <w:tab w:val="center" w:pos="31680"/>
        </w:tabs>
        <w:autoSpaceDE w:val="0"/>
        <w:autoSpaceDN w:val="0"/>
        <w:adjustRightInd/>
        <w:spacing w:line="240" w:lineRule="auto"/>
        <w:ind w:firstLine="420"/>
        <w:jc w:val="right"/>
        <w:rPr>
          <w:rFonts w:ascii="Times New Roman" w:hAnsi="Times New Roman"/>
        </w:rPr>
      </w:pPr>
      <m:oMath>
        <m:r>
          <m:rPr/>
          <w:rPr>
            <w:rFonts w:ascii="Cambria Math" w:hAnsi="Cambria Math"/>
          </w:rPr>
          <m:t xml:space="preserve"> η=</m:t>
        </m:r>
        <m:f>
          <m:fPr>
            <m:ctrlPr>
              <w:rPr>
                <w:rFonts w:ascii="Cambria Math" w:hAnsi="Cambria Math"/>
                <w:i/>
              </w:rPr>
            </m:ctrlPr>
          </m:fPr>
          <m:num>
            <m:r>
              <m:rPr/>
              <w:rPr>
                <w:rFonts w:ascii="Cambria Math" w:hAnsi="Cambria Math"/>
              </w:rPr>
              <m:t>G</m:t>
            </m:r>
            <m:ctrlPr>
              <w:rPr>
                <w:rFonts w:ascii="Cambria Math" w:hAnsi="Cambria Math"/>
                <w:i/>
              </w:rPr>
            </m:ctrlPr>
          </m:num>
          <m:den>
            <m:r>
              <m:rPr/>
              <w:rPr>
                <w:rFonts w:ascii="Cambria Math" w:hAnsi="Cambria Math"/>
              </w:rPr>
              <m:t>F</m:t>
            </m:r>
            <m:ctrlPr>
              <w:rPr>
                <w:rFonts w:ascii="Cambria Math" w:hAnsi="Cambria Math"/>
                <w:i/>
              </w:rPr>
            </m:ctrlPr>
          </m:den>
        </m:f>
        <m:r>
          <m:rPr/>
          <w:rPr>
            <w:rFonts w:ascii="Cambria Math" w:hAnsi="Cambria Math"/>
          </w:rPr>
          <m:t>×100%</m:t>
        </m:r>
      </m:oMath>
      <w:r>
        <w:rPr>
          <w:rFonts w:ascii="Times New Roman" w:hAnsi="Times New Roman"/>
        </w:rPr>
        <w:t xml:space="preserve"> </w:t>
      </w:r>
      <w:r>
        <w:rPr>
          <w:rFonts w:ascii="Times New Roman" w:hAnsi="Times New Roman"/>
          <w:color w:val="000000" w:themeColor="text1"/>
          <w14:textFill>
            <w14:solidFill>
              <w14:schemeClr w14:val="tx1"/>
            </w14:solidFill>
          </w14:textFill>
        </w:rPr>
        <w:tab/>
      </w:r>
      <w:r>
        <w:rPr>
          <w:rFonts w:hint="eastAsia" w:ascii="Times New Roman" w:hAnsi="Times New Roman"/>
        </w:rPr>
        <w:t>（6）</w:t>
      </w:r>
    </w:p>
    <w:p w14:paraId="3775CE24">
      <w:pPr>
        <w:pStyle w:val="65"/>
        <w:ind w:firstLine="420"/>
        <w:rPr>
          <w:rFonts w:hint="eastAsia" w:hAnsi="宋体" w:cs="宋体"/>
          <w:iCs/>
          <w:szCs w:val="21"/>
        </w:rPr>
      </w:pPr>
      <w:r>
        <w:rPr>
          <w:rFonts w:hint="eastAsia" w:hAnsi="宋体" w:cs="宋体"/>
          <w:iCs/>
          <w:szCs w:val="21"/>
        </w:rPr>
        <w:t>式中：</w:t>
      </w:r>
    </w:p>
    <w:p w14:paraId="10E90014">
      <w:pPr>
        <w:pStyle w:val="65"/>
        <w:ind w:firstLine="420"/>
        <w:rPr>
          <w:rFonts w:hint="eastAsia" w:hAnsi="宋体" w:cs="宋体"/>
          <w:szCs w:val="21"/>
        </w:rPr>
      </w:pPr>
      <m:oMath>
        <m:r>
          <m:rPr/>
          <w:rPr>
            <w:rFonts w:hint="eastAsia" w:ascii="Cambria Math" w:hAnsi="Cambria Math" w:cs="宋体"/>
            <w:szCs w:val="21"/>
          </w:rPr>
          <m:t xml:space="preserve">η  </m:t>
        </m:r>
      </m:oMath>
      <w:r>
        <w:rPr>
          <w:rFonts w:hint="eastAsia" w:hAnsi="宋体" w:cs="宋体"/>
          <w:szCs w:val="21"/>
        </w:rPr>
        <w:t>——生产效率，%；</w:t>
      </w:r>
    </w:p>
    <w:p w14:paraId="50DA289F">
      <w:pPr>
        <w:pStyle w:val="65"/>
        <w:ind w:firstLine="420"/>
        <w:rPr>
          <w:rFonts w:hint="eastAsia" w:hAnsi="宋体" w:cs="宋体"/>
          <w:szCs w:val="21"/>
        </w:rPr>
      </w:pPr>
      <w:r>
        <w:rPr>
          <w:rFonts w:hint="eastAsia" w:ascii="Cambria Math" w:hAnsi="Cambria Math" w:cs="宋体"/>
          <w:i/>
          <w:szCs w:val="21"/>
        </w:rPr>
        <w:t xml:space="preserve">F </w:t>
      </w:r>
      <w:r>
        <w:rPr>
          <w:rFonts w:hint="eastAsia" w:hAnsi="宋体" w:cs="宋体"/>
          <w:szCs w:val="21"/>
        </w:rPr>
        <w:t>——成套设备的额定生产能力，单位为千克每小时（kg/h）。</w:t>
      </w:r>
    </w:p>
    <w:bookmarkEnd w:id="716"/>
    <w:p w14:paraId="1DA355F8">
      <w:pPr>
        <w:pStyle w:val="114"/>
        <w:numPr>
          <w:ilvl w:val="3"/>
          <w:numId w:val="38"/>
        </w:numPr>
        <w:spacing w:before="120" w:after="120"/>
        <w:outlineLvl w:val="2"/>
        <w:rPr>
          <w:rFonts w:hint="eastAsia" w:hAnsi="黑体" w:cs="宋体"/>
        </w:rPr>
      </w:pPr>
      <w:bookmarkStart w:id="717" w:name="_Toc204448639"/>
      <w:r>
        <w:rPr>
          <w:rFonts w:hint="eastAsia" w:hAnsi="黑体" w:cs="宋体"/>
        </w:rPr>
        <w:t>产品合格率试验</w:t>
      </w:r>
      <w:bookmarkEnd w:id="717"/>
    </w:p>
    <w:p w14:paraId="3827FF24">
      <w:pPr>
        <w:pStyle w:val="65"/>
        <w:ind w:firstLine="420"/>
        <w:rPr>
          <w:rFonts w:hint="eastAsia" w:hAnsi="宋体" w:cs="宋体"/>
          <w:szCs w:val="21"/>
        </w:rPr>
      </w:pPr>
      <w:r>
        <w:rPr>
          <w:rFonts w:hint="eastAsia" w:hAnsi="宋体" w:cs="宋体"/>
          <w:szCs w:val="21"/>
        </w:rPr>
        <w:t>成套设备正常运行时，随机抽取速冻薯条产品样品不少于10 kg，按公式（7）计算产品合格率，</w:t>
      </w:r>
      <w:r>
        <w:rPr>
          <w:rFonts w:hint="eastAsia" w:hAnsi="宋体" w:cs="宋体"/>
        </w:rPr>
        <w:t>重复进行三次</w:t>
      </w:r>
      <w:r>
        <w:rPr>
          <w:rFonts w:hint="eastAsia" w:hAnsi="宋体" w:cs="宋体"/>
          <w:szCs w:val="21"/>
        </w:rPr>
        <w:t>。</w:t>
      </w:r>
      <w:bookmarkStart w:id="718" w:name="_Hlk204352465"/>
    </w:p>
    <w:p w14:paraId="427500AF">
      <w:pPr>
        <w:tabs>
          <w:tab w:val="center" w:leader="middleDot" w:pos="5250"/>
          <w:tab w:val="center" w:pos="31680"/>
        </w:tabs>
        <w:autoSpaceDE w:val="0"/>
        <w:autoSpaceDN w:val="0"/>
        <w:adjustRightInd/>
        <w:spacing w:line="240" w:lineRule="auto"/>
        <w:jc w:val="right"/>
        <w:rPr>
          <w:rFonts w:ascii="Times New Roman" w:hAnsi="Times New Roman"/>
        </w:rPr>
      </w:pPr>
      <m:oMath>
        <m:sSub>
          <m:sSubPr>
            <m:ctrlPr>
              <w:rPr>
                <w:rFonts w:ascii="Cambria Math" w:hAnsi="Cambria Math"/>
                <w:i/>
              </w:rPr>
            </m:ctrlPr>
          </m:sSubPr>
          <m:e>
            <m:r>
              <m:rPr/>
              <w:rPr>
                <w:rFonts w:ascii="Cambria Math" w:hAnsi="Cambria Math"/>
              </w:rPr>
              <m:t>R</m:t>
            </m:r>
            <m:ctrlPr>
              <w:rPr>
                <w:rFonts w:ascii="Cambria Math" w:hAnsi="Cambria Math"/>
                <w:i/>
              </w:rPr>
            </m:ctrlPr>
          </m:e>
          <m:sub>
            <m:r>
              <m:rPr/>
              <w:rPr>
                <w:rFonts w:hint="eastAsia" w:ascii="Cambria Math" w:hAnsi="Cambria Math"/>
              </w:rPr>
              <m:t>5</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hint="eastAsia" w:ascii="Cambria Math" w:hAnsi="Cambria Math"/>
                    <w:i/>
                  </w:rPr>
                </m:ctrlPr>
              </m:sSubPr>
              <m:e>
                <m:r>
                  <m:rPr/>
                  <w:rPr>
                    <w:rFonts w:ascii="Cambria Math" w:hAnsi="Cambria Math"/>
                  </w:rPr>
                  <m:t>M</m:t>
                </m:r>
                <m:ctrlPr>
                  <w:rPr>
                    <w:rFonts w:hint="eastAsia" w:ascii="Cambria Math" w:hAnsi="Cambria Math"/>
                    <w:i/>
                  </w:rPr>
                </m:ctrlPr>
              </m:e>
              <m:sub>
                <m:r>
                  <m:rPr/>
                  <w:rPr>
                    <w:rFonts w:hint="eastAsia" w:ascii="Cambria Math" w:hAnsi="Cambria Math"/>
                  </w:rPr>
                  <m:t>4</m:t>
                </m:r>
                <m:ctrlPr>
                  <w:rPr>
                    <w:rFonts w:hint="eastAsia" w:ascii="Cambria Math" w:hAnsi="Cambria Math"/>
                    <w:i/>
                  </w:rPr>
                </m:ctrlPr>
              </m:sub>
            </m:sSub>
            <m:sSub>
              <m:sSubPr>
                <m:ctrlPr>
                  <w:rPr>
                    <w:rFonts w:hint="eastAsia" w:ascii="Cambria Math" w:hAnsi="Cambria Math"/>
                    <w:i/>
                  </w:rPr>
                </m:ctrlPr>
              </m:sSubPr>
              <m:e>
                <m:r>
                  <m:rPr/>
                  <w:rPr>
                    <w:rFonts w:ascii="Cambria Math" w:hAnsi="Cambria Math"/>
                  </w:rPr>
                  <m:t>−M</m:t>
                </m:r>
                <m:ctrlPr>
                  <w:rPr>
                    <w:rFonts w:hint="eastAsia" w:ascii="Cambria Math" w:hAnsi="Cambria Math"/>
                    <w:i/>
                  </w:rPr>
                </m:ctrlPr>
              </m:e>
              <m:sub>
                <m:r>
                  <m:rPr/>
                  <w:rPr>
                    <w:rFonts w:hint="eastAsia" w:ascii="Cambria Math" w:hAnsi="Cambria Math"/>
                  </w:rPr>
                  <m:t>5</m:t>
                </m:r>
                <m:ctrlPr>
                  <w:rPr>
                    <w:rFonts w:hint="eastAsia" w:ascii="Cambria Math" w:hAnsi="Cambria Math"/>
                    <w:i/>
                  </w:rPr>
                </m:ctrlPr>
              </m:sub>
            </m:sSub>
            <m:ctrlPr>
              <w:rPr>
                <w:rFonts w:ascii="Cambria Math" w:hAnsi="Cambria Math"/>
                <w:i/>
              </w:rPr>
            </m:ctrlPr>
          </m:num>
          <m:den>
            <m:sSub>
              <m:sSubPr>
                <m:ctrlPr>
                  <w:rPr>
                    <w:rFonts w:hint="eastAsia" w:ascii="Cambria Math" w:hAnsi="Cambria Math"/>
                    <w:i/>
                  </w:rPr>
                </m:ctrlPr>
              </m:sSubPr>
              <m:e>
                <m:r>
                  <m:rPr/>
                  <w:rPr>
                    <w:rFonts w:ascii="Cambria Math" w:hAnsi="Cambria Math"/>
                  </w:rPr>
                  <m:t>M</m:t>
                </m:r>
                <m:ctrlPr>
                  <w:rPr>
                    <w:rFonts w:hint="eastAsia" w:ascii="Cambria Math" w:hAnsi="Cambria Math"/>
                    <w:i/>
                  </w:rPr>
                </m:ctrlPr>
              </m:e>
              <m:sub>
                <m:r>
                  <m:rPr/>
                  <w:rPr>
                    <w:rFonts w:hint="eastAsia" w:ascii="Cambria Math" w:hAnsi="Cambria Math"/>
                  </w:rPr>
                  <m:t>4</m:t>
                </m:r>
                <m:ctrlPr>
                  <w:rPr>
                    <w:rFonts w:hint="eastAsia" w:ascii="Cambria Math" w:hAnsi="Cambria Math"/>
                    <w:i/>
                  </w:rPr>
                </m:ctrlPr>
              </m:sub>
            </m:sSub>
            <m:ctrlPr>
              <w:rPr>
                <w:rFonts w:ascii="Cambria Math" w:hAnsi="Cambria Math"/>
                <w:i/>
              </w:rPr>
            </m:ctrlPr>
          </m:den>
        </m:f>
        <m:r>
          <m:rPr/>
          <w:rPr>
            <w:rFonts w:ascii="Cambria Math" w:hAnsi="Cambria Math"/>
          </w:rPr>
          <m:t>×100%</m:t>
        </m:r>
      </m:oMath>
      <w:r>
        <w:rPr>
          <w:rFonts w:ascii="Times New Roman" w:hAnsi="Times New Roman"/>
        </w:rPr>
        <w:t xml:space="preserve"> </w:t>
      </w:r>
      <w:r>
        <w:rPr>
          <w:rFonts w:ascii="Times New Roman" w:hAnsi="Times New Roman"/>
        </w:rPr>
        <w:tab/>
      </w:r>
      <w:r>
        <w:rPr>
          <w:rFonts w:hint="eastAsia" w:ascii="Times New Roman" w:hAnsi="Times New Roman"/>
        </w:rPr>
        <w:t>（7）</w:t>
      </w:r>
    </w:p>
    <w:p w14:paraId="2C18B5AB">
      <w:pPr>
        <w:pStyle w:val="65"/>
        <w:ind w:firstLine="420"/>
        <w:rPr>
          <w:rFonts w:hint="eastAsia" w:hAnsi="宋体" w:cs="宋体"/>
          <w:szCs w:val="21"/>
        </w:rPr>
      </w:pPr>
      <w:r>
        <w:rPr>
          <w:rFonts w:hint="eastAsia" w:hAnsi="宋体" w:cs="宋体"/>
          <w:szCs w:val="21"/>
        </w:rPr>
        <w:t>式中：</w:t>
      </w:r>
    </w:p>
    <w:p w14:paraId="0453D936">
      <w:pPr>
        <w:pStyle w:val="65"/>
        <w:ind w:firstLine="420"/>
        <w:rPr>
          <w:rFonts w:hint="eastAsia" w:hAnsi="宋体" w:cs="宋体"/>
          <w:szCs w:val="21"/>
        </w:rPr>
      </w:pPr>
      <m:oMath>
        <m:sSub>
          <m:sSubPr>
            <m:ctrlPr>
              <w:rPr>
                <w:rFonts w:hint="eastAsia" w:ascii="Cambria Math" w:hAnsi="Cambria Math" w:cs="宋体"/>
                <w:i/>
              </w:rPr>
            </m:ctrlPr>
          </m:sSubPr>
          <m:e>
            <m:r>
              <m:rPr/>
              <w:rPr>
                <w:rFonts w:hint="eastAsia" w:ascii="Cambria Math" w:hAnsi="Cambria Math" w:cs="宋体"/>
              </w:rPr>
              <m:t>R</m:t>
            </m:r>
            <m:ctrlPr>
              <w:rPr>
                <w:rFonts w:hint="eastAsia" w:ascii="Cambria Math" w:hAnsi="Cambria Math" w:cs="宋体"/>
                <w:i/>
              </w:rPr>
            </m:ctrlPr>
          </m:e>
          <m:sub>
            <m:r>
              <m:rPr/>
              <w:rPr>
                <w:rFonts w:hint="eastAsia" w:ascii="Cambria Math" w:hAnsi="Cambria Math" w:cs="宋体"/>
              </w:rPr>
              <m:t>5</m:t>
            </m:r>
            <m:ctrlPr>
              <w:rPr>
                <w:rFonts w:hint="eastAsia" w:ascii="Cambria Math" w:hAnsi="Cambria Math" w:cs="宋体"/>
                <w:i/>
              </w:rPr>
            </m:ctrlPr>
          </m:sub>
        </m:sSub>
      </m:oMath>
      <w:r>
        <w:rPr>
          <w:rFonts w:hint="eastAsia" w:hAnsi="宋体" w:cs="宋体"/>
          <w:szCs w:val="21"/>
        </w:rPr>
        <w:t>——产品合格率，%；</w:t>
      </w:r>
    </w:p>
    <w:p w14:paraId="07A76646">
      <w:pPr>
        <w:pStyle w:val="65"/>
        <w:ind w:firstLine="420"/>
        <w:rPr>
          <w:rFonts w:hint="eastAsia" w:hAnsi="宋体" w:cs="宋体"/>
          <w:szCs w:val="21"/>
        </w:rPr>
      </w:pPr>
      <m:oMath>
        <m:sSub>
          <m:sSubPr>
            <m:ctrlPr>
              <w:rPr>
                <w:rFonts w:hint="eastAsia" w:ascii="Cambria Math" w:hAnsi="Cambria Math" w:cs="宋体"/>
                <w:i/>
                <w:szCs w:val="21"/>
              </w:rPr>
            </m:ctrlPr>
          </m:sSubPr>
          <m:e>
            <m:r>
              <m:rPr/>
              <w:rPr>
                <w:rFonts w:hint="eastAsia" w:ascii="Cambria Math" w:hAnsi="Cambria Math" w:cs="宋体"/>
                <w:szCs w:val="21"/>
              </w:rPr>
              <m:t>M</m:t>
            </m:r>
            <m:ctrlPr>
              <w:rPr>
                <w:rFonts w:hint="eastAsia" w:ascii="Cambria Math" w:hAnsi="Cambria Math" w:cs="宋体"/>
                <w:i/>
                <w:szCs w:val="21"/>
              </w:rPr>
            </m:ctrlPr>
          </m:e>
          <m:sub>
            <m:r>
              <m:rPr/>
              <w:rPr>
                <w:rFonts w:hint="eastAsia" w:ascii="Cambria Math" w:hAnsi="Cambria Math" w:cs="宋体"/>
                <w:szCs w:val="21"/>
              </w:rPr>
              <m:t>4</m:t>
            </m:r>
            <m:ctrlPr>
              <w:rPr>
                <w:rFonts w:hint="eastAsia" w:ascii="Cambria Math" w:hAnsi="Cambria Math" w:cs="宋体"/>
                <w:i/>
                <w:szCs w:val="21"/>
              </w:rPr>
            </m:ctrlPr>
          </m:sub>
        </m:sSub>
      </m:oMath>
      <w:r>
        <w:rPr>
          <w:rFonts w:hint="eastAsia" w:hAnsi="宋体" w:cs="宋体"/>
          <w:szCs w:val="21"/>
        </w:rPr>
        <w:t>——速冻薯条样品总质量，单位为克（g）；</w:t>
      </w:r>
    </w:p>
    <w:p w14:paraId="09CBBB9C">
      <w:pPr>
        <w:pStyle w:val="65"/>
        <w:ind w:firstLine="420"/>
        <w:rPr>
          <w:rFonts w:hint="eastAsia" w:hAnsi="宋体" w:cs="宋体"/>
        </w:rPr>
      </w:pPr>
      <m:oMath>
        <m:sSub>
          <m:sSubPr>
            <m:ctrlPr>
              <w:rPr>
                <w:rFonts w:hint="eastAsia" w:ascii="Cambria Math" w:hAnsi="Cambria Math" w:cs="宋体"/>
                <w:i/>
                <w:szCs w:val="21"/>
              </w:rPr>
            </m:ctrlPr>
          </m:sSubPr>
          <m:e>
            <m:r>
              <m:rPr/>
              <w:rPr>
                <w:rFonts w:hint="eastAsia" w:ascii="Cambria Math" w:hAnsi="Cambria Math" w:cs="宋体"/>
                <w:szCs w:val="21"/>
              </w:rPr>
              <m:t>M</m:t>
            </m:r>
            <m:ctrlPr>
              <w:rPr>
                <w:rFonts w:hint="eastAsia" w:ascii="Cambria Math" w:hAnsi="Cambria Math" w:cs="宋体"/>
                <w:i/>
                <w:szCs w:val="21"/>
              </w:rPr>
            </m:ctrlPr>
          </m:e>
          <m:sub>
            <m:r>
              <m:rPr/>
              <w:rPr>
                <w:rFonts w:hint="eastAsia" w:ascii="Cambria Math" w:hAnsi="Cambria Math" w:cs="宋体"/>
                <w:szCs w:val="21"/>
              </w:rPr>
              <m:t>5</m:t>
            </m:r>
            <m:ctrlPr>
              <w:rPr>
                <w:rFonts w:hint="eastAsia" w:ascii="Cambria Math" w:hAnsi="Cambria Math" w:cs="宋体"/>
                <w:i/>
                <w:szCs w:val="21"/>
              </w:rPr>
            </m:ctrlPr>
          </m:sub>
        </m:sSub>
      </m:oMath>
      <w:r>
        <w:rPr>
          <w:rFonts w:hint="eastAsia" w:hAnsi="宋体" w:cs="宋体"/>
          <w:szCs w:val="21"/>
        </w:rPr>
        <w:t>——抽样中不合格（含油率、截面尺寸、长度或表面质量之一不符合要求）速冻薯条的质量，单位为克（g）。</w:t>
      </w:r>
      <w:bookmarkStart w:id="719" w:name="_Toc17957"/>
    </w:p>
    <w:bookmarkEnd w:id="718"/>
    <w:p w14:paraId="7C49AB77">
      <w:pPr>
        <w:pStyle w:val="114"/>
        <w:numPr>
          <w:ilvl w:val="3"/>
          <w:numId w:val="38"/>
        </w:numPr>
        <w:spacing w:before="120" w:after="120"/>
        <w:outlineLvl w:val="2"/>
        <w:rPr>
          <w:rFonts w:hint="eastAsia" w:hAnsi="黑体" w:cs="宋体"/>
        </w:rPr>
      </w:pPr>
      <w:bookmarkStart w:id="720" w:name="_Toc204448640"/>
      <w:r>
        <w:rPr>
          <w:rFonts w:hint="eastAsia" w:hAnsi="黑体" w:cs="宋体"/>
        </w:rPr>
        <w:t>使用有效度试验</w:t>
      </w:r>
      <w:bookmarkEnd w:id="719"/>
      <w:bookmarkEnd w:id="720"/>
    </w:p>
    <w:p w14:paraId="466EFC1E">
      <w:pPr>
        <w:pStyle w:val="255"/>
        <w:numPr>
          <w:ilvl w:val="0"/>
          <w:numId w:val="0"/>
        </w:numPr>
        <w:autoSpaceDE w:val="0"/>
        <w:autoSpaceDN w:val="0"/>
        <w:spacing w:beforeLines="0" w:afterLines="0"/>
        <w:ind w:firstLine="420" w:firstLineChars="200"/>
        <w:jc w:val="both"/>
        <w:outlineLvl w:val="9"/>
        <w:rPr>
          <w:rFonts w:hint="eastAsia" w:ascii="宋体" w:hAnsi="宋体" w:eastAsia="宋体"/>
          <w:kern w:val="2"/>
        </w:rPr>
      </w:pPr>
      <w:bookmarkStart w:id="721" w:name="_Hlk204353930"/>
      <w:r>
        <w:rPr>
          <w:rFonts w:hint="eastAsia" w:ascii="宋体" w:hAnsi="宋体" w:eastAsia="宋体" w:cs="宋体"/>
          <w:kern w:val="2"/>
        </w:rPr>
        <w:t>成套设备具备正常运行条件时进行使用有效度考核，考核时间不少于168 h，按公式（8）计算使用有效度。</w:t>
      </w:r>
    </w:p>
    <w:p w14:paraId="7552BF8B">
      <w:pPr>
        <w:pStyle w:val="241"/>
        <w:ind w:firstLine="0" w:firstLineChars="0"/>
        <w:jc w:val="center"/>
        <w:rPr>
          <w:rFonts w:hint="eastAsia"/>
        </w:rPr>
      </w:pPr>
      <w:r>
        <w:rPr>
          <w:rFonts w:hint="eastAsia" w:ascii="Times New Roman" w:eastAsiaTheme="minorEastAsia"/>
          <w:iCs/>
        </w:rPr>
        <w:t xml:space="preserve">                                    </w:t>
      </w:r>
      <m:oMath>
        <m:r>
          <m:rPr/>
          <w:rPr>
            <w:rFonts w:hint="eastAsia" w:ascii="Cambria Math" w:hAnsi="Cambria Math"/>
          </w:rPr>
          <m:t>K</m:t>
        </m:r>
        <m:r>
          <m:rPr>
            <m:sty m:val="p"/>
          </m:rPr>
          <w:rPr>
            <w:rFonts w:ascii="Cambria Math" w:hAnsi="Cambria Math" w:eastAsia="Cambria Math" w:cs="Cambria Math"/>
          </w:rPr>
          <m:t>=</m:t>
        </m:r>
        <m:f>
          <m:fPr>
            <m:ctrlPr>
              <w:rPr>
                <w:rFonts w:ascii="Cambria Math" w:hAnsi="Cambria Math" w:eastAsia="Cambria Math"/>
              </w:rPr>
            </m:ctrlPr>
          </m:fPr>
          <m:num>
            <m:r>
              <m:rPr/>
              <w:rPr>
                <w:rFonts w:hint="eastAsia" w:ascii="Cambria Math" w:hAnsi="Cambria Math"/>
                <w:kern w:val="2"/>
                <w:szCs w:val="21"/>
              </w:rPr>
              <m:t>T</m:t>
            </m:r>
            <m:r>
              <m:rPr>
                <m:sty m:val="p"/>
              </m:rPr>
              <w:rPr>
                <w:rFonts w:hint="eastAsia" w:ascii="Cambria Math" w:hAnsi="Cambria Math"/>
                <w:kern w:val="2"/>
                <w:szCs w:val="21"/>
                <w:vertAlign w:val="subscript"/>
              </w:rPr>
              <m:t>z</m:t>
            </m:r>
            <m:ctrlPr>
              <w:rPr>
                <w:rFonts w:ascii="Cambria Math" w:hAnsi="Cambria Math" w:eastAsia="Cambria Math"/>
              </w:rPr>
            </m:ctrlPr>
          </m:num>
          <m:den>
            <m:r>
              <m:rPr/>
              <w:rPr>
                <w:rFonts w:hint="eastAsia" w:ascii="Cambria Math" w:hAnsi="Cambria Math"/>
                <w:kern w:val="2"/>
                <w:szCs w:val="21"/>
              </w:rPr>
              <m:t>T</m:t>
            </m:r>
            <m:r>
              <m:rPr>
                <m:sty m:val="p"/>
              </m:rPr>
              <w:rPr>
                <w:rFonts w:hint="eastAsia" w:ascii="Cambria Math" w:hAnsi="Cambria Math"/>
                <w:kern w:val="2"/>
                <w:szCs w:val="21"/>
                <w:vertAlign w:val="subscript"/>
              </w:rPr>
              <m:t>z</m:t>
            </m:r>
            <m:r>
              <m:rPr>
                <m:sty m:val="p"/>
              </m:rPr>
              <w:rPr>
                <w:rFonts w:ascii="Cambria Math"/>
                <w:kern w:val="2"/>
                <w:szCs w:val="21"/>
                <w:vertAlign w:val="subscript"/>
              </w:rPr>
              <m:t>+</m:t>
            </m:r>
            <m:r>
              <m:rPr/>
              <w:rPr>
                <w:rFonts w:hint="eastAsia" w:ascii="Cambria Math" w:hAnsi="Cambria Math"/>
                <w:kern w:val="2"/>
                <w:szCs w:val="21"/>
              </w:rPr>
              <m:t>T</m:t>
            </m:r>
            <m:r>
              <m:rPr>
                <m:sty m:val="p"/>
              </m:rPr>
              <w:rPr>
                <w:rFonts w:hint="eastAsia" w:ascii="Cambria Math" w:hAnsi="Cambria Math"/>
                <w:kern w:val="2"/>
                <w:szCs w:val="21"/>
                <w:vertAlign w:val="subscript"/>
              </w:rPr>
              <m:t>g</m:t>
            </m:r>
            <m:ctrlPr>
              <w:rPr>
                <w:rFonts w:ascii="Cambria Math" w:hAnsi="Cambria Math" w:eastAsia="Cambria Math"/>
              </w:rPr>
            </m:ctrlPr>
          </m:den>
        </m:f>
        <m:r>
          <m:rPr/>
          <w:rPr>
            <w:rFonts w:hint="eastAsia" w:ascii="Cambria Math" w:hAnsi="Cambria Math" w:eastAsiaTheme="minorEastAsia"/>
          </w:rPr>
          <m:t>×</m:t>
        </m:r>
        <m:r>
          <m:rPr/>
          <w:rPr>
            <w:rFonts w:ascii="Cambria Math" w:hAnsi="Cambria Math" w:eastAsia="Cambria Math"/>
          </w:rPr>
          <m:t>1</m:t>
        </m:r>
        <m:r>
          <m:rPr/>
          <w:rPr>
            <w:rFonts w:ascii="Cambria Math" w:hAnsi="Cambria Math" w:eastAsiaTheme="minorEastAsia"/>
          </w:rPr>
          <m:t>00</m:t>
        </m:r>
        <m:r>
          <m:rPr>
            <m:nor/>
            <m:sty m:val="p"/>
          </m:rPr>
          <w:rPr>
            <w:rFonts w:ascii="Cambria Math" w:hAnsi="Cambria Math" w:eastAsiaTheme="majorEastAsia"/>
            <w:b w:val="0"/>
            <w:i w:val="0"/>
            <w:szCs w:val="21"/>
          </w:rPr>
          <m:t>%</m:t>
        </m:r>
      </m:oMath>
      <w:r>
        <w:rPr>
          <w:rFonts w:hint="eastAsia" w:ascii="Times New Roman"/>
          <w:szCs w:val="21"/>
        </w:rPr>
        <w:tab/>
      </w:r>
      <w:r>
        <w:rPr>
          <w:rFonts w:hint="eastAsia" w:ascii="Times New Roman"/>
          <w:szCs w:val="21"/>
        </w:rPr>
        <w:t>（</w:t>
      </w:r>
      <w:r>
        <w:rPr>
          <w:rFonts w:hint="eastAsia" w:ascii="Times New Roman" w:eastAsiaTheme="minorEastAsia"/>
          <w:szCs w:val="21"/>
        </w:rPr>
        <w:t>8</w:t>
      </w:r>
      <w:r>
        <w:rPr>
          <w:rFonts w:hint="eastAsia" w:ascii="Times New Roman"/>
          <w:szCs w:val="21"/>
        </w:rPr>
        <w:t>）</w:t>
      </w:r>
    </w:p>
    <w:p w14:paraId="77F2ACD3">
      <w:pPr>
        <w:pStyle w:val="241"/>
        <w:rPr>
          <w:rFonts w:hint="eastAsia" w:cs="宋体"/>
        </w:rPr>
      </w:pPr>
      <w:r>
        <w:rPr>
          <w:rFonts w:hint="eastAsia" w:cs="宋体"/>
        </w:rPr>
        <w:t>式中：</w:t>
      </w:r>
    </w:p>
    <w:p w14:paraId="5F9BB628">
      <w:pPr>
        <w:pStyle w:val="241"/>
        <w:rPr>
          <w:rFonts w:hint="eastAsia" w:cs="宋体"/>
          <w:kern w:val="2"/>
          <w:szCs w:val="21"/>
        </w:rPr>
      </w:pPr>
      <w:r>
        <w:rPr>
          <w:rFonts w:hint="eastAsia" w:ascii="Cambria Math" w:hAnsi="Cambria Math" w:cs="宋体"/>
          <w:i/>
          <w:szCs w:val="21"/>
        </w:rPr>
        <w:t>K</w:t>
      </w:r>
      <w:r>
        <w:rPr>
          <w:rFonts w:hint="eastAsia" w:cs="宋体"/>
        </w:rPr>
        <w:t xml:space="preserve"> ——成套设备使用有效度，</w:t>
      </w:r>
      <w:r>
        <w:rPr>
          <w:rFonts w:hint="eastAsia" w:cs="宋体"/>
          <w:kern w:val="2"/>
          <w:szCs w:val="21"/>
        </w:rPr>
        <w:t>%；</w:t>
      </w:r>
    </w:p>
    <w:p w14:paraId="01B4F9B0">
      <w:pPr>
        <w:pStyle w:val="241"/>
        <w:rPr>
          <w:rFonts w:hint="eastAsia" w:cs="宋体"/>
          <w:kern w:val="2"/>
          <w:szCs w:val="21"/>
        </w:rPr>
      </w:pPr>
      <w:r>
        <w:rPr>
          <w:rFonts w:hint="eastAsia" w:ascii="Cambria Math" w:hAnsi="Cambria Math" w:cs="宋体"/>
          <w:i/>
          <w:szCs w:val="21"/>
        </w:rPr>
        <w:t>T</w:t>
      </w:r>
      <w:r>
        <w:rPr>
          <w:rFonts w:hint="eastAsia" w:ascii="Cambria Math" w:hAnsi="Cambria Math" w:cs="宋体"/>
          <w:iCs/>
          <w:szCs w:val="21"/>
          <w:vertAlign w:val="subscript"/>
        </w:rPr>
        <w:t>z</w:t>
      </w:r>
      <w:r>
        <w:rPr>
          <w:rFonts w:hint="eastAsia" w:cs="宋体"/>
          <w:kern w:val="2"/>
          <w:szCs w:val="21"/>
        </w:rPr>
        <w:t>——考核期间成套设备正常运行时间，单位为小时（h）；</w:t>
      </w:r>
    </w:p>
    <w:p w14:paraId="73D93417">
      <w:pPr>
        <w:pStyle w:val="241"/>
        <w:rPr>
          <w:rFonts w:hint="eastAsia" w:cs="宋体"/>
          <w:szCs w:val="21"/>
        </w:rPr>
      </w:pPr>
      <w:r>
        <w:rPr>
          <w:rFonts w:hint="eastAsia" w:ascii="Cambria Math" w:hAnsi="Cambria Math" w:cs="宋体"/>
          <w:i/>
          <w:szCs w:val="21"/>
        </w:rPr>
        <w:t>T</w:t>
      </w:r>
      <w:r>
        <w:rPr>
          <w:rFonts w:hint="eastAsia" w:ascii="Cambria Math" w:hAnsi="Cambria Math" w:cs="宋体"/>
          <w:iCs/>
          <w:szCs w:val="21"/>
          <w:vertAlign w:val="subscript"/>
        </w:rPr>
        <w:t>g</w:t>
      </w:r>
      <w:r>
        <w:rPr>
          <w:rFonts w:hint="eastAsia" w:cs="宋体"/>
          <w:kern w:val="2"/>
          <w:szCs w:val="21"/>
        </w:rPr>
        <w:t>——考核期间成套设备故障时间，单位为小时（h）。</w:t>
      </w:r>
    </w:p>
    <w:bookmarkEnd w:id="721"/>
    <w:p w14:paraId="10B0944E">
      <w:pPr>
        <w:pStyle w:val="114"/>
        <w:numPr>
          <w:ilvl w:val="3"/>
          <w:numId w:val="38"/>
        </w:numPr>
        <w:spacing w:before="120" w:after="120"/>
        <w:outlineLvl w:val="2"/>
        <w:rPr>
          <w:rFonts w:hint="eastAsia" w:hAnsi="黑体" w:cs="宋体"/>
        </w:rPr>
      </w:pPr>
      <w:bookmarkStart w:id="722" w:name="_Toc204448641"/>
      <w:bookmarkStart w:id="723" w:name="_Toc20298"/>
      <w:r>
        <w:rPr>
          <w:rFonts w:hint="eastAsia" w:hAnsi="黑体" w:cs="宋体"/>
        </w:rPr>
        <w:t>工作噪声检测</w:t>
      </w:r>
      <w:bookmarkEnd w:id="722"/>
      <w:bookmarkEnd w:id="723"/>
    </w:p>
    <w:p w14:paraId="7775574A">
      <w:pPr>
        <w:pStyle w:val="255"/>
        <w:numPr>
          <w:ilvl w:val="0"/>
          <w:numId w:val="0"/>
        </w:numPr>
        <w:spacing w:beforeLines="0" w:afterLines="0"/>
        <w:ind w:firstLine="420" w:firstLineChars="200"/>
        <w:jc w:val="both"/>
        <w:outlineLvl w:val="9"/>
        <w:rPr>
          <w:rFonts w:hint="eastAsia" w:ascii="宋体" w:hAnsi="宋体" w:eastAsia="宋体" w:cs="宋体"/>
          <w:kern w:val="2"/>
        </w:rPr>
      </w:pPr>
      <w:bookmarkStart w:id="724" w:name="_Hlk204354818"/>
      <w:r>
        <w:rPr>
          <w:rFonts w:hint="eastAsia" w:ascii="宋体" w:hAnsi="宋体" w:eastAsia="宋体"/>
          <w:color w:val="000000"/>
          <w:kern w:val="2"/>
        </w:rPr>
        <w:t>成套设备正常工作时，按GB/T 3768规定的方法进行噪声测量</w:t>
      </w:r>
      <w:bookmarkEnd w:id="724"/>
      <w:r>
        <w:rPr>
          <w:rFonts w:hint="eastAsia" w:ascii="宋体" w:hAnsi="宋体" w:eastAsia="宋体"/>
          <w:color w:val="000000"/>
          <w:kern w:val="2"/>
        </w:rPr>
        <w:t>。</w:t>
      </w:r>
    </w:p>
    <w:p w14:paraId="239D0F1E">
      <w:pPr>
        <w:pStyle w:val="268"/>
        <w:numPr>
          <w:ilvl w:val="1"/>
          <w:numId w:val="35"/>
        </w:numPr>
        <w:spacing w:before="240" w:after="240" w:line="240" w:lineRule="auto"/>
        <w:jc w:val="both"/>
        <w:rPr>
          <w:rFonts w:hint="eastAsia" w:hAnsi="黑体" w:cs="宋体"/>
          <w:kern w:val="0"/>
        </w:rPr>
      </w:pPr>
      <w:bookmarkStart w:id="725" w:name="_Toc77186083"/>
      <w:bookmarkStart w:id="726" w:name="_Toc19097"/>
      <w:bookmarkStart w:id="727" w:name="_Toc94259995"/>
      <w:bookmarkStart w:id="728" w:name="_Toc85527729"/>
      <w:bookmarkStart w:id="729" w:name="_Toc76532491"/>
      <w:bookmarkStart w:id="730" w:name="_Toc5766"/>
      <w:bookmarkStart w:id="731" w:name="_Toc85527788"/>
      <w:bookmarkStart w:id="732" w:name="_Toc2509"/>
      <w:bookmarkStart w:id="733" w:name="_Toc77186024"/>
      <w:bookmarkStart w:id="734" w:name="_Toc196411996"/>
      <w:bookmarkStart w:id="735" w:name="_Toc76902183"/>
      <w:bookmarkStart w:id="736" w:name="_Toc76532370"/>
      <w:bookmarkStart w:id="737" w:name="_Toc20245"/>
      <w:bookmarkStart w:id="738" w:name="_Toc835"/>
      <w:bookmarkStart w:id="739" w:name="_Hlk107127725"/>
      <w:r>
        <w:rPr>
          <w:rFonts w:hint="eastAsia" w:hAnsi="黑体" w:cs="宋体"/>
          <w:kern w:val="0"/>
        </w:rPr>
        <w:t>检验规则</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bookmarkEnd w:id="739"/>
    <w:p w14:paraId="36AA57A8">
      <w:pPr>
        <w:pStyle w:val="268"/>
        <w:numPr>
          <w:ilvl w:val="2"/>
          <w:numId w:val="35"/>
        </w:numPr>
        <w:spacing w:before="120" w:beforeLines="50" w:after="120" w:afterLines="50" w:line="240" w:lineRule="auto"/>
        <w:jc w:val="both"/>
        <w:outlineLvl w:val="1"/>
        <w:rPr>
          <w:rFonts w:hint="eastAsia"/>
        </w:rPr>
      </w:pPr>
      <w:bookmarkStart w:id="740" w:name="_Toc2916"/>
      <w:bookmarkStart w:id="741" w:name="_Toc2812"/>
      <w:bookmarkStart w:id="742" w:name="_Toc17114"/>
      <w:bookmarkStart w:id="743" w:name="_Toc1862"/>
      <w:bookmarkStart w:id="744" w:name="_Toc180317991"/>
      <w:r>
        <w:rPr>
          <w:rFonts w:hint="eastAsia" w:hAnsi="黑体" w:cs="宋体"/>
          <w:kern w:val="0"/>
        </w:rPr>
        <w:t>检验</w:t>
      </w:r>
      <w:r>
        <w:rPr>
          <w:rFonts w:hint="eastAsia"/>
        </w:rPr>
        <w:t>类型</w:t>
      </w:r>
      <w:bookmarkEnd w:id="740"/>
      <w:bookmarkEnd w:id="741"/>
      <w:bookmarkEnd w:id="742"/>
      <w:bookmarkEnd w:id="743"/>
    </w:p>
    <w:p w14:paraId="1A862700">
      <w:pPr>
        <w:pStyle w:val="65"/>
        <w:autoSpaceDE/>
        <w:autoSpaceDN/>
        <w:ind w:firstLine="420"/>
        <w:rPr>
          <w:rFonts w:hint="eastAsia" w:ascii="Times New Roman" w:hAnsi="宋体"/>
        </w:rPr>
      </w:pPr>
      <w:r>
        <w:rPr>
          <w:rFonts w:hint="eastAsia" w:ascii="Times New Roman" w:hAnsi="宋体"/>
        </w:rPr>
        <w:t>检验类型包括出厂检验、安装和调试检验及型式检验。</w:t>
      </w:r>
    </w:p>
    <w:p w14:paraId="5630F855">
      <w:pPr>
        <w:pStyle w:val="268"/>
        <w:numPr>
          <w:ilvl w:val="2"/>
          <w:numId w:val="35"/>
        </w:numPr>
        <w:spacing w:before="120" w:beforeLines="50" w:after="120" w:afterLines="50" w:line="240" w:lineRule="auto"/>
        <w:jc w:val="both"/>
        <w:outlineLvl w:val="1"/>
        <w:rPr>
          <w:rFonts w:hint="eastAsia"/>
        </w:rPr>
      </w:pPr>
      <w:bookmarkStart w:id="745" w:name="_Toc6765"/>
      <w:bookmarkStart w:id="746" w:name="_Toc22270"/>
      <w:bookmarkStart w:id="747" w:name="_Toc25744"/>
      <w:bookmarkStart w:id="748" w:name="_Toc867"/>
      <w:bookmarkStart w:id="749" w:name="_Toc64481504"/>
      <w:bookmarkStart w:id="750" w:name="_Toc498677555"/>
      <w:bookmarkStart w:id="751" w:name="_Toc104469593"/>
      <w:bookmarkStart w:id="752" w:name="_Toc22888935"/>
      <w:bookmarkStart w:id="753" w:name="_Toc23502"/>
      <w:bookmarkStart w:id="754" w:name="_Toc196411998"/>
      <w:bookmarkStart w:id="755" w:name="_Toc21110928"/>
      <w:bookmarkStart w:id="756" w:name="_Hlk107127757"/>
      <w:r>
        <w:rPr>
          <w:rFonts w:hint="eastAsia"/>
        </w:rPr>
        <w:t>出厂检验</w:t>
      </w:r>
      <w:bookmarkEnd w:id="745"/>
      <w:bookmarkEnd w:id="746"/>
      <w:bookmarkEnd w:id="747"/>
      <w:bookmarkEnd w:id="748"/>
    </w:p>
    <w:bookmarkEnd w:id="749"/>
    <w:bookmarkEnd w:id="750"/>
    <w:bookmarkEnd w:id="751"/>
    <w:bookmarkEnd w:id="752"/>
    <w:bookmarkEnd w:id="753"/>
    <w:bookmarkEnd w:id="754"/>
    <w:bookmarkEnd w:id="755"/>
    <w:bookmarkEnd w:id="756"/>
    <w:p w14:paraId="50DDF2CF">
      <w:pPr>
        <w:pStyle w:val="268"/>
        <w:numPr>
          <w:ilvl w:val="3"/>
          <w:numId w:val="35"/>
        </w:numPr>
        <w:spacing w:before="0" w:beforeLines="0" w:after="0" w:afterLines="0" w:line="240" w:lineRule="auto"/>
        <w:jc w:val="both"/>
        <w:outlineLvl w:val="2"/>
        <w:rPr>
          <w:rFonts w:hint="eastAsia" w:ascii="宋体" w:hAnsi="宋体" w:eastAsia="宋体" w:cs="宋体"/>
        </w:rPr>
      </w:pPr>
      <w:bookmarkStart w:id="757" w:name="_Toc198211263"/>
      <w:bookmarkStart w:id="758" w:name="_Toc204448645"/>
      <w:r>
        <w:rPr>
          <w:rFonts w:hint="eastAsia" w:ascii="宋体" w:hAnsi="宋体" w:eastAsia="宋体" w:cs="宋体"/>
        </w:rPr>
        <w:t>检验</w:t>
      </w:r>
      <w:r>
        <w:rPr>
          <w:rFonts w:hint="eastAsia" w:ascii="宋体" w:hAnsi="宋体" w:eastAsia="宋体" w:cs="宋体"/>
          <w:color w:val="000000" w:themeColor="text1"/>
          <w14:textFill>
            <w14:solidFill>
              <w14:schemeClr w14:val="tx1"/>
            </w14:solidFill>
          </w14:textFill>
        </w:rPr>
        <w:t>项目：每台设备均应进行出厂检验，检验项目见表2</w:t>
      </w:r>
      <w:bookmarkEnd w:id="757"/>
      <w:r>
        <w:rPr>
          <w:rFonts w:hint="eastAsia" w:ascii="宋体" w:hAnsi="宋体" w:eastAsia="宋体" w:cs="宋体"/>
          <w:color w:val="000000" w:themeColor="text1"/>
          <w14:textFill>
            <w14:solidFill>
              <w14:schemeClr w14:val="tx1"/>
            </w14:solidFill>
          </w14:textFill>
        </w:rPr>
        <w:t>。</w:t>
      </w:r>
      <w:bookmarkEnd w:id="758"/>
    </w:p>
    <w:p w14:paraId="411DDA06">
      <w:pPr>
        <w:pStyle w:val="13"/>
        <w:spacing w:before="120" w:beforeLines="50" w:after="120" w:afterLines="50" w:line="240" w:lineRule="auto"/>
        <w:jc w:val="center"/>
        <w:rPr>
          <w:rFonts w:hint="eastAsia" w:ascii="黑体" w:hAnsi="黑体" w:cs="黑体"/>
          <w:sz w:val="21"/>
          <w:szCs w:val="21"/>
        </w:rPr>
      </w:pPr>
      <w:r>
        <w:rPr>
          <w:rFonts w:hint="eastAsia" w:ascii="黑体" w:hAnsi="黑体" w:cs="黑体"/>
          <w:sz w:val="21"/>
          <w:szCs w:val="21"/>
        </w:rPr>
        <w:t xml:space="preserve">表 </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2</w:t>
      </w:r>
      <w:r>
        <w:rPr>
          <w:rFonts w:hint="eastAsia" w:ascii="黑体" w:hAnsi="黑体" w:cs="黑体"/>
          <w:sz w:val="21"/>
          <w:szCs w:val="21"/>
        </w:rPr>
        <w:fldChar w:fldCharType="end"/>
      </w:r>
      <w:bookmarkStart w:id="759" w:name="_Toc11801"/>
      <w:bookmarkStart w:id="760" w:name="_Toc18894"/>
      <w:bookmarkStart w:id="761" w:name="_Toc30100"/>
      <w:bookmarkStart w:id="762" w:name="_Toc5679"/>
      <w:r>
        <w:rPr>
          <w:rFonts w:hint="eastAsia" w:ascii="黑体" w:hAnsi="黑体" w:cs="黑体"/>
          <w:sz w:val="21"/>
          <w:szCs w:val="21"/>
        </w:rPr>
        <w:t xml:space="preserve"> 检查项目</w:t>
      </w:r>
      <w:bookmarkEnd w:id="759"/>
      <w:bookmarkEnd w:id="760"/>
      <w:bookmarkEnd w:id="761"/>
      <w:bookmarkEnd w:id="762"/>
    </w:p>
    <w:bookmarkEnd w:id="744"/>
    <w:tbl>
      <w:tblPr>
        <w:tblStyle w:val="33"/>
        <w:tblpPr w:leftFromText="180" w:rightFromText="180" w:vertAnchor="text" w:horzAnchor="page" w:tblpX="2212" w:tblpY="207"/>
        <w:tblOverlap w:val="never"/>
        <w:tblW w:w="44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857"/>
        <w:gridCol w:w="1134"/>
        <w:gridCol w:w="1144"/>
        <w:gridCol w:w="1153"/>
        <w:gridCol w:w="1144"/>
        <w:gridCol w:w="1158"/>
      </w:tblGrid>
      <w:tr w14:paraId="4001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94" w:type="pct"/>
            <w:vMerge w:val="restart"/>
            <w:vAlign w:val="center"/>
          </w:tcPr>
          <w:p w14:paraId="5870DAD4">
            <w:pPr>
              <w:spacing w:line="240" w:lineRule="auto"/>
              <w:jc w:val="center"/>
              <w:rPr>
                <w:rFonts w:hint="eastAsia" w:ascii="宋体" w:hAnsi="宋体" w:cs="黑体"/>
                <w:bCs/>
                <w:sz w:val="18"/>
                <w:szCs w:val="18"/>
              </w:rPr>
            </w:pPr>
            <w:bookmarkStart w:id="763" w:name="_Toc4024"/>
            <w:bookmarkStart w:id="764" w:name="_Toc196412748"/>
            <w:bookmarkStart w:id="765" w:name="_Hlk107041544"/>
            <w:bookmarkStart w:id="766" w:name="_Toc13819"/>
            <w:r>
              <w:rPr>
                <w:rFonts w:hint="eastAsia" w:ascii="宋体" w:hAnsi="宋体" w:cs="黑体"/>
                <w:bCs/>
                <w:sz w:val="18"/>
                <w:szCs w:val="18"/>
              </w:rPr>
              <w:t>序号</w:t>
            </w:r>
          </w:p>
        </w:tc>
        <w:tc>
          <w:tcPr>
            <w:tcW w:w="1127" w:type="pct"/>
            <w:vMerge w:val="restart"/>
            <w:vAlign w:val="center"/>
          </w:tcPr>
          <w:p w14:paraId="41D69B7F">
            <w:pPr>
              <w:spacing w:line="240" w:lineRule="auto"/>
              <w:jc w:val="center"/>
              <w:rPr>
                <w:rFonts w:hint="eastAsia" w:ascii="宋体" w:hAnsi="宋体" w:cs="黑体"/>
                <w:bCs/>
                <w:sz w:val="18"/>
                <w:szCs w:val="18"/>
              </w:rPr>
            </w:pPr>
            <w:r>
              <w:rPr>
                <w:rFonts w:hint="eastAsia" w:ascii="宋体" w:hAnsi="宋体" w:cs="黑体"/>
                <w:bCs/>
                <w:sz w:val="18"/>
                <w:szCs w:val="18"/>
              </w:rPr>
              <w:t>检验项目</w:t>
            </w:r>
          </w:p>
        </w:tc>
        <w:tc>
          <w:tcPr>
            <w:tcW w:w="2082" w:type="pct"/>
            <w:gridSpan w:val="3"/>
            <w:vAlign w:val="center"/>
          </w:tcPr>
          <w:p w14:paraId="61FF18D6">
            <w:pPr>
              <w:spacing w:line="240" w:lineRule="auto"/>
              <w:jc w:val="center"/>
              <w:rPr>
                <w:rFonts w:hint="eastAsia" w:ascii="宋体" w:hAnsi="宋体" w:cs="黑体"/>
                <w:bCs/>
                <w:sz w:val="18"/>
                <w:szCs w:val="18"/>
              </w:rPr>
            </w:pPr>
            <w:r>
              <w:rPr>
                <w:rFonts w:hint="eastAsia" w:ascii="宋体" w:hAnsi="宋体" w:cs="黑体"/>
                <w:bCs/>
                <w:sz w:val="18"/>
                <w:szCs w:val="18"/>
              </w:rPr>
              <w:t>检验类别</w:t>
            </w:r>
          </w:p>
        </w:tc>
        <w:tc>
          <w:tcPr>
            <w:tcW w:w="694" w:type="pct"/>
            <w:vMerge w:val="restart"/>
            <w:vAlign w:val="center"/>
          </w:tcPr>
          <w:p w14:paraId="68A91C1A">
            <w:pPr>
              <w:spacing w:line="240" w:lineRule="auto"/>
              <w:jc w:val="center"/>
              <w:rPr>
                <w:rFonts w:hint="eastAsia" w:ascii="宋体" w:hAnsi="宋体" w:cs="黑体"/>
                <w:bCs/>
                <w:sz w:val="18"/>
                <w:szCs w:val="18"/>
              </w:rPr>
            </w:pPr>
            <w:r>
              <w:rPr>
                <w:rFonts w:hint="eastAsia" w:ascii="宋体" w:hAnsi="宋体" w:cs="黑体"/>
                <w:bCs/>
                <w:sz w:val="18"/>
                <w:szCs w:val="18"/>
              </w:rPr>
              <w:t>对应要求</w:t>
            </w:r>
          </w:p>
        </w:tc>
        <w:tc>
          <w:tcPr>
            <w:tcW w:w="703" w:type="pct"/>
            <w:vMerge w:val="restart"/>
            <w:vAlign w:val="center"/>
          </w:tcPr>
          <w:p w14:paraId="12DA1E6C">
            <w:pPr>
              <w:spacing w:line="240" w:lineRule="auto"/>
              <w:jc w:val="center"/>
              <w:rPr>
                <w:rFonts w:hint="eastAsia" w:ascii="宋体" w:hAnsi="宋体" w:cs="黑体"/>
                <w:bCs/>
                <w:sz w:val="18"/>
                <w:szCs w:val="18"/>
              </w:rPr>
            </w:pPr>
            <w:r>
              <w:rPr>
                <w:rFonts w:hint="eastAsia" w:ascii="宋体" w:hAnsi="宋体" w:cs="黑体"/>
                <w:bCs/>
                <w:sz w:val="18"/>
                <w:szCs w:val="18"/>
              </w:rPr>
              <w:t>检验方法</w:t>
            </w:r>
          </w:p>
        </w:tc>
      </w:tr>
      <w:tr w14:paraId="41A0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94" w:type="pct"/>
            <w:vMerge w:val="continue"/>
            <w:vAlign w:val="center"/>
          </w:tcPr>
          <w:p w14:paraId="55E73B8A">
            <w:pPr>
              <w:spacing w:line="240" w:lineRule="auto"/>
              <w:jc w:val="center"/>
              <w:rPr>
                <w:rFonts w:hint="eastAsia" w:ascii="宋体" w:hAnsi="宋体" w:cs="黑体"/>
                <w:bCs/>
                <w:sz w:val="18"/>
                <w:szCs w:val="18"/>
              </w:rPr>
            </w:pPr>
          </w:p>
        </w:tc>
        <w:tc>
          <w:tcPr>
            <w:tcW w:w="1127" w:type="pct"/>
            <w:vMerge w:val="continue"/>
            <w:vAlign w:val="center"/>
          </w:tcPr>
          <w:p w14:paraId="23D2F530">
            <w:pPr>
              <w:spacing w:line="240" w:lineRule="auto"/>
              <w:jc w:val="center"/>
              <w:rPr>
                <w:rFonts w:hint="eastAsia" w:ascii="宋体" w:hAnsi="宋体" w:cs="黑体"/>
                <w:bCs/>
                <w:sz w:val="18"/>
                <w:szCs w:val="18"/>
              </w:rPr>
            </w:pPr>
          </w:p>
        </w:tc>
        <w:tc>
          <w:tcPr>
            <w:tcW w:w="688" w:type="pct"/>
            <w:vAlign w:val="center"/>
          </w:tcPr>
          <w:p w14:paraId="2E6F5D82">
            <w:pPr>
              <w:spacing w:line="240" w:lineRule="auto"/>
              <w:jc w:val="center"/>
              <w:rPr>
                <w:rFonts w:hint="eastAsia" w:ascii="宋体" w:hAnsi="宋体" w:cs="黑体"/>
                <w:bCs/>
                <w:sz w:val="18"/>
                <w:szCs w:val="18"/>
              </w:rPr>
            </w:pPr>
            <w:r>
              <w:rPr>
                <w:rFonts w:hint="eastAsia" w:ascii="宋体" w:hAnsi="宋体" w:cs="黑体"/>
                <w:bCs/>
                <w:sz w:val="18"/>
                <w:szCs w:val="18"/>
              </w:rPr>
              <w:t>出厂检验</w:t>
            </w:r>
          </w:p>
        </w:tc>
        <w:tc>
          <w:tcPr>
            <w:tcW w:w="694" w:type="pct"/>
            <w:vAlign w:val="center"/>
          </w:tcPr>
          <w:p w14:paraId="1A6C643D">
            <w:pPr>
              <w:spacing w:line="240" w:lineRule="auto"/>
              <w:jc w:val="center"/>
              <w:rPr>
                <w:rFonts w:hint="eastAsia" w:ascii="宋体" w:hAnsi="宋体" w:cs="黑体"/>
                <w:bCs/>
                <w:sz w:val="18"/>
                <w:szCs w:val="18"/>
              </w:rPr>
            </w:pPr>
            <w:r>
              <w:rPr>
                <w:rFonts w:hint="eastAsia" w:ascii="宋体" w:hAnsi="宋体" w:cs="黑体"/>
                <w:bCs/>
                <w:sz w:val="18"/>
                <w:szCs w:val="18"/>
              </w:rPr>
              <w:t>安装和调试检验</w:t>
            </w:r>
          </w:p>
        </w:tc>
        <w:tc>
          <w:tcPr>
            <w:tcW w:w="699" w:type="pct"/>
            <w:vAlign w:val="center"/>
          </w:tcPr>
          <w:p w14:paraId="0592CE80">
            <w:pPr>
              <w:spacing w:line="240" w:lineRule="auto"/>
              <w:jc w:val="center"/>
              <w:rPr>
                <w:rFonts w:hint="eastAsia" w:ascii="宋体" w:hAnsi="宋体" w:cs="黑体"/>
                <w:bCs/>
                <w:sz w:val="18"/>
                <w:szCs w:val="18"/>
              </w:rPr>
            </w:pPr>
            <w:r>
              <w:rPr>
                <w:rFonts w:hint="eastAsia" w:ascii="宋体" w:hAnsi="宋体" w:cs="黑体"/>
                <w:bCs/>
                <w:sz w:val="18"/>
                <w:szCs w:val="18"/>
              </w:rPr>
              <w:t>型式检验</w:t>
            </w:r>
          </w:p>
        </w:tc>
        <w:tc>
          <w:tcPr>
            <w:tcW w:w="694" w:type="pct"/>
            <w:vMerge w:val="continue"/>
          </w:tcPr>
          <w:p w14:paraId="75257C6B">
            <w:pPr>
              <w:spacing w:line="240" w:lineRule="auto"/>
              <w:jc w:val="center"/>
              <w:rPr>
                <w:rFonts w:hint="eastAsia" w:ascii="宋体" w:hAnsi="宋体" w:cs="黑体"/>
                <w:bCs/>
                <w:sz w:val="18"/>
                <w:szCs w:val="18"/>
              </w:rPr>
            </w:pPr>
          </w:p>
        </w:tc>
        <w:tc>
          <w:tcPr>
            <w:tcW w:w="703" w:type="pct"/>
            <w:vMerge w:val="continue"/>
          </w:tcPr>
          <w:p w14:paraId="1AAE7FF2">
            <w:pPr>
              <w:spacing w:line="240" w:lineRule="auto"/>
              <w:jc w:val="center"/>
              <w:rPr>
                <w:rFonts w:hint="eastAsia" w:ascii="宋体" w:hAnsi="宋体" w:cs="黑体"/>
                <w:bCs/>
                <w:sz w:val="18"/>
                <w:szCs w:val="18"/>
              </w:rPr>
            </w:pPr>
          </w:p>
        </w:tc>
      </w:tr>
      <w:tr w14:paraId="5E22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1511F7D0">
            <w:pPr>
              <w:spacing w:line="240" w:lineRule="auto"/>
              <w:jc w:val="center"/>
              <w:rPr>
                <w:rFonts w:hint="eastAsia" w:ascii="宋体" w:hAnsi="宋体" w:cs="宋体"/>
                <w:bCs/>
                <w:sz w:val="18"/>
                <w:szCs w:val="18"/>
              </w:rPr>
            </w:pPr>
            <w:r>
              <w:rPr>
                <w:rFonts w:hint="eastAsia" w:ascii="宋体" w:hAnsi="宋体" w:cs="宋体"/>
                <w:bCs/>
                <w:sz w:val="18"/>
                <w:szCs w:val="18"/>
              </w:rPr>
              <w:t>1</w:t>
            </w:r>
          </w:p>
        </w:tc>
        <w:tc>
          <w:tcPr>
            <w:tcW w:w="1127" w:type="pct"/>
            <w:vAlign w:val="center"/>
          </w:tcPr>
          <w:p w14:paraId="17B64C2C">
            <w:pPr>
              <w:spacing w:line="240" w:lineRule="auto"/>
              <w:jc w:val="center"/>
              <w:rPr>
                <w:rFonts w:hint="eastAsia" w:ascii="宋体" w:hAnsi="宋体" w:cs="宋体"/>
                <w:bCs/>
                <w:sz w:val="18"/>
                <w:szCs w:val="18"/>
              </w:rPr>
            </w:pPr>
            <w:r>
              <w:rPr>
                <w:rFonts w:hint="eastAsia" w:ascii="宋体" w:hAnsi="宋体" w:cs="宋体"/>
                <w:bCs/>
                <w:sz w:val="18"/>
                <w:szCs w:val="18"/>
              </w:rPr>
              <w:t>材料要求检查</w:t>
            </w:r>
          </w:p>
        </w:tc>
        <w:tc>
          <w:tcPr>
            <w:tcW w:w="688" w:type="pct"/>
            <w:vAlign w:val="center"/>
          </w:tcPr>
          <w:p w14:paraId="0DCC33DE">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3F281079">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9" w:type="pct"/>
            <w:vAlign w:val="center"/>
          </w:tcPr>
          <w:p w14:paraId="6D35F4FB">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13171F89">
            <w:pPr>
              <w:spacing w:line="240" w:lineRule="auto"/>
              <w:jc w:val="center"/>
              <w:rPr>
                <w:rFonts w:hint="eastAsia" w:ascii="宋体" w:hAnsi="宋体" w:cs="宋体"/>
                <w:bCs/>
                <w:sz w:val="18"/>
                <w:szCs w:val="18"/>
              </w:rPr>
            </w:pPr>
            <w:r>
              <w:rPr>
                <w:rFonts w:hint="eastAsia" w:ascii="宋体" w:hAnsi="宋体" w:cs="宋体"/>
                <w:bCs/>
                <w:sz w:val="18"/>
                <w:szCs w:val="18"/>
              </w:rPr>
              <w:t>5.1</w:t>
            </w:r>
          </w:p>
        </w:tc>
        <w:tc>
          <w:tcPr>
            <w:tcW w:w="703" w:type="pct"/>
            <w:vAlign w:val="center"/>
          </w:tcPr>
          <w:p w14:paraId="600C0830">
            <w:pPr>
              <w:spacing w:line="240" w:lineRule="auto"/>
              <w:jc w:val="center"/>
              <w:rPr>
                <w:rFonts w:hint="eastAsia" w:ascii="宋体" w:hAnsi="宋体" w:cs="宋体"/>
                <w:bCs/>
                <w:sz w:val="18"/>
                <w:szCs w:val="18"/>
              </w:rPr>
            </w:pPr>
            <w:r>
              <w:rPr>
                <w:rFonts w:hint="eastAsia" w:ascii="宋体" w:hAnsi="宋体" w:cs="宋体"/>
                <w:bCs/>
                <w:sz w:val="18"/>
                <w:szCs w:val="18"/>
              </w:rPr>
              <w:t>6.2</w:t>
            </w:r>
          </w:p>
        </w:tc>
      </w:tr>
      <w:tr w14:paraId="6217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27EA199C">
            <w:pPr>
              <w:spacing w:line="240" w:lineRule="auto"/>
              <w:jc w:val="center"/>
              <w:rPr>
                <w:rFonts w:hint="eastAsia" w:ascii="宋体" w:hAnsi="宋体" w:cs="宋体"/>
                <w:bCs/>
                <w:sz w:val="18"/>
                <w:szCs w:val="18"/>
              </w:rPr>
            </w:pPr>
            <w:r>
              <w:rPr>
                <w:rFonts w:hint="eastAsia" w:ascii="宋体" w:hAnsi="宋体" w:cs="宋体"/>
                <w:bCs/>
                <w:sz w:val="18"/>
                <w:szCs w:val="18"/>
              </w:rPr>
              <w:t>2</w:t>
            </w:r>
          </w:p>
        </w:tc>
        <w:tc>
          <w:tcPr>
            <w:tcW w:w="1127" w:type="pct"/>
            <w:vAlign w:val="center"/>
          </w:tcPr>
          <w:p w14:paraId="6E865FDA">
            <w:pPr>
              <w:spacing w:line="240" w:lineRule="auto"/>
              <w:jc w:val="center"/>
              <w:rPr>
                <w:rFonts w:hint="eastAsia" w:ascii="宋体" w:hAnsi="宋体" w:cs="宋体"/>
                <w:bCs/>
                <w:sz w:val="18"/>
                <w:szCs w:val="18"/>
              </w:rPr>
            </w:pPr>
            <w:r>
              <w:rPr>
                <w:rFonts w:hint="eastAsia" w:ascii="宋体" w:hAnsi="宋体" w:cs="宋体"/>
                <w:bCs/>
                <w:sz w:val="18"/>
                <w:szCs w:val="18"/>
              </w:rPr>
              <w:t>加工要求检查</w:t>
            </w:r>
          </w:p>
        </w:tc>
        <w:tc>
          <w:tcPr>
            <w:tcW w:w="688" w:type="pct"/>
            <w:vAlign w:val="center"/>
          </w:tcPr>
          <w:p w14:paraId="20A3FA61">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3AA38DB0">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9" w:type="pct"/>
            <w:vAlign w:val="center"/>
          </w:tcPr>
          <w:p w14:paraId="691D98D4">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17F77134">
            <w:pPr>
              <w:spacing w:line="240" w:lineRule="auto"/>
              <w:jc w:val="center"/>
              <w:rPr>
                <w:rFonts w:hint="eastAsia" w:ascii="宋体" w:hAnsi="宋体" w:cs="宋体"/>
                <w:bCs/>
                <w:sz w:val="18"/>
                <w:szCs w:val="18"/>
              </w:rPr>
            </w:pPr>
            <w:r>
              <w:rPr>
                <w:rFonts w:hint="eastAsia" w:ascii="宋体" w:hAnsi="宋体" w:cs="宋体"/>
                <w:bCs/>
                <w:sz w:val="18"/>
                <w:szCs w:val="18"/>
              </w:rPr>
              <w:t>5.2</w:t>
            </w:r>
          </w:p>
        </w:tc>
        <w:tc>
          <w:tcPr>
            <w:tcW w:w="703" w:type="pct"/>
            <w:vAlign w:val="center"/>
          </w:tcPr>
          <w:p w14:paraId="5C52C80A">
            <w:pPr>
              <w:spacing w:line="240" w:lineRule="auto"/>
              <w:jc w:val="center"/>
              <w:rPr>
                <w:rFonts w:hint="eastAsia" w:ascii="宋体" w:hAnsi="宋体" w:cs="宋体"/>
                <w:bCs/>
                <w:sz w:val="18"/>
                <w:szCs w:val="18"/>
              </w:rPr>
            </w:pPr>
            <w:r>
              <w:rPr>
                <w:rFonts w:hint="eastAsia" w:ascii="宋体" w:hAnsi="宋体" w:cs="宋体"/>
                <w:bCs/>
                <w:sz w:val="18"/>
                <w:szCs w:val="18"/>
              </w:rPr>
              <w:t>6.3</w:t>
            </w:r>
          </w:p>
        </w:tc>
      </w:tr>
      <w:tr w14:paraId="653C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6E83BCCB">
            <w:pPr>
              <w:spacing w:line="240" w:lineRule="auto"/>
              <w:jc w:val="center"/>
              <w:rPr>
                <w:rFonts w:hint="eastAsia" w:ascii="宋体" w:hAnsi="宋体" w:cs="宋体"/>
                <w:bCs/>
                <w:sz w:val="18"/>
                <w:szCs w:val="18"/>
              </w:rPr>
            </w:pPr>
            <w:r>
              <w:rPr>
                <w:rFonts w:hint="eastAsia" w:ascii="宋体" w:hAnsi="宋体" w:cs="宋体"/>
                <w:bCs/>
                <w:sz w:val="18"/>
                <w:szCs w:val="18"/>
              </w:rPr>
              <w:t>3</w:t>
            </w:r>
          </w:p>
        </w:tc>
        <w:tc>
          <w:tcPr>
            <w:tcW w:w="1127" w:type="pct"/>
            <w:vAlign w:val="center"/>
          </w:tcPr>
          <w:p w14:paraId="022FE047">
            <w:pPr>
              <w:spacing w:line="240" w:lineRule="auto"/>
              <w:jc w:val="center"/>
              <w:rPr>
                <w:rFonts w:hint="eastAsia" w:ascii="宋体" w:hAnsi="宋体" w:cs="宋体"/>
                <w:bCs/>
                <w:sz w:val="18"/>
                <w:szCs w:val="18"/>
              </w:rPr>
            </w:pPr>
            <w:r>
              <w:rPr>
                <w:rFonts w:hint="eastAsia" w:ascii="宋体" w:hAnsi="宋体" w:cs="宋体"/>
                <w:bCs/>
                <w:sz w:val="18"/>
                <w:szCs w:val="18"/>
              </w:rPr>
              <w:t>主要单机和系统要求检查</w:t>
            </w:r>
          </w:p>
        </w:tc>
        <w:tc>
          <w:tcPr>
            <w:tcW w:w="688" w:type="pct"/>
            <w:vAlign w:val="center"/>
          </w:tcPr>
          <w:p w14:paraId="0FFF8515">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771FE7B3">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9" w:type="pct"/>
            <w:vAlign w:val="center"/>
          </w:tcPr>
          <w:p w14:paraId="3686ED8C">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1908E7E1">
            <w:pPr>
              <w:spacing w:line="240" w:lineRule="auto"/>
              <w:jc w:val="center"/>
              <w:rPr>
                <w:rFonts w:hint="eastAsia" w:ascii="宋体" w:hAnsi="宋体" w:cs="宋体"/>
                <w:bCs/>
                <w:sz w:val="18"/>
                <w:szCs w:val="18"/>
              </w:rPr>
            </w:pPr>
            <w:r>
              <w:rPr>
                <w:rFonts w:hint="eastAsia" w:ascii="宋体" w:hAnsi="宋体" w:cs="宋体"/>
                <w:bCs/>
                <w:sz w:val="18"/>
                <w:szCs w:val="18"/>
              </w:rPr>
              <w:t>5.3</w:t>
            </w:r>
          </w:p>
        </w:tc>
        <w:tc>
          <w:tcPr>
            <w:tcW w:w="703" w:type="pct"/>
            <w:vAlign w:val="center"/>
          </w:tcPr>
          <w:p w14:paraId="45D946AB">
            <w:pPr>
              <w:spacing w:line="240" w:lineRule="auto"/>
              <w:jc w:val="center"/>
              <w:rPr>
                <w:rFonts w:hint="eastAsia" w:ascii="宋体" w:hAnsi="宋体" w:cs="宋体"/>
                <w:bCs/>
                <w:sz w:val="18"/>
                <w:szCs w:val="18"/>
              </w:rPr>
            </w:pPr>
            <w:r>
              <w:rPr>
                <w:rFonts w:hint="eastAsia" w:ascii="宋体" w:hAnsi="宋体" w:cs="宋体"/>
                <w:bCs/>
                <w:sz w:val="18"/>
                <w:szCs w:val="18"/>
              </w:rPr>
              <w:t>6.4</w:t>
            </w:r>
          </w:p>
        </w:tc>
      </w:tr>
      <w:tr w14:paraId="165B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07C7D031">
            <w:pPr>
              <w:spacing w:line="240" w:lineRule="auto"/>
              <w:jc w:val="center"/>
              <w:rPr>
                <w:rFonts w:hint="eastAsia" w:ascii="宋体" w:hAnsi="宋体" w:cs="宋体"/>
                <w:bCs/>
                <w:sz w:val="18"/>
                <w:szCs w:val="18"/>
              </w:rPr>
            </w:pPr>
            <w:r>
              <w:rPr>
                <w:rFonts w:hint="eastAsia" w:ascii="宋体" w:hAnsi="宋体" w:cs="宋体"/>
                <w:bCs/>
                <w:sz w:val="18"/>
                <w:szCs w:val="18"/>
              </w:rPr>
              <w:t>4</w:t>
            </w:r>
          </w:p>
        </w:tc>
        <w:tc>
          <w:tcPr>
            <w:tcW w:w="1127" w:type="pct"/>
            <w:vAlign w:val="center"/>
          </w:tcPr>
          <w:p w14:paraId="635D7B84">
            <w:pPr>
              <w:spacing w:line="240" w:lineRule="auto"/>
              <w:jc w:val="center"/>
              <w:rPr>
                <w:rFonts w:hint="eastAsia" w:ascii="宋体" w:hAnsi="宋体" w:cs="宋体"/>
                <w:bCs/>
                <w:sz w:val="18"/>
                <w:szCs w:val="18"/>
              </w:rPr>
            </w:pPr>
            <w:r>
              <w:rPr>
                <w:rFonts w:hint="eastAsia" w:ascii="宋体" w:hAnsi="宋体" w:cs="宋体"/>
                <w:bCs/>
                <w:sz w:val="18"/>
                <w:szCs w:val="18"/>
              </w:rPr>
              <w:t>装配要求检查</w:t>
            </w:r>
          </w:p>
        </w:tc>
        <w:tc>
          <w:tcPr>
            <w:tcW w:w="688" w:type="pct"/>
            <w:vAlign w:val="center"/>
          </w:tcPr>
          <w:p w14:paraId="0CA30D8E">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3C4A9078">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9" w:type="pct"/>
            <w:vAlign w:val="center"/>
          </w:tcPr>
          <w:p w14:paraId="7361DF67">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60E194D6">
            <w:pPr>
              <w:spacing w:line="240" w:lineRule="auto"/>
              <w:jc w:val="center"/>
              <w:rPr>
                <w:rFonts w:hint="eastAsia" w:ascii="宋体" w:hAnsi="宋体" w:cs="宋体"/>
                <w:bCs/>
                <w:sz w:val="18"/>
                <w:szCs w:val="18"/>
              </w:rPr>
            </w:pPr>
            <w:r>
              <w:rPr>
                <w:rFonts w:hint="eastAsia" w:ascii="宋体" w:hAnsi="宋体" w:cs="宋体"/>
                <w:bCs/>
                <w:sz w:val="18"/>
                <w:szCs w:val="18"/>
              </w:rPr>
              <w:t>5.4</w:t>
            </w:r>
          </w:p>
        </w:tc>
        <w:tc>
          <w:tcPr>
            <w:tcW w:w="703" w:type="pct"/>
            <w:vAlign w:val="center"/>
          </w:tcPr>
          <w:p w14:paraId="2D8FB2A8">
            <w:pPr>
              <w:spacing w:line="240" w:lineRule="auto"/>
              <w:jc w:val="center"/>
              <w:rPr>
                <w:rFonts w:hint="eastAsia" w:ascii="宋体" w:hAnsi="宋体" w:cs="宋体"/>
                <w:bCs/>
                <w:sz w:val="18"/>
                <w:szCs w:val="18"/>
              </w:rPr>
            </w:pPr>
            <w:r>
              <w:rPr>
                <w:rFonts w:hint="eastAsia" w:ascii="宋体" w:hAnsi="宋体" w:cs="宋体"/>
                <w:bCs/>
                <w:sz w:val="18"/>
                <w:szCs w:val="18"/>
              </w:rPr>
              <w:t>6.5</w:t>
            </w:r>
          </w:p>
        </w:tc>
      </w:tr>
      <w:tr w14:paraId="0D7C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100F9726">
            <w:pPr>
              <w:spacing w:line="240" w:lineRule="auto"/>
              <w:jc w:val="center"/>
              <w:rPr>
                <w:rFonts w:hint="eastAsia" w:ascii="宋体" w:hAnsi="宋体" w:cs="宋体"/>
                <w:bCs/>
                <w:sz w:val="18"/>
                <w:szCs w:val="18"/>
              </w:rPr>
            </w:pPr>
            <w:r>
              <w:rPr>
                <w:rFonts w:hint="eastAsia" w:ascii="宋体" w:hAnsi="宋体" w:cs="宋体"/>
                <w:bCs/>
                <w:sz w:val="18"/>
                <w:szCs w:val="18"/>
              </w:rPr>
              <w:t>5</w:t>
            </w:r>
          </w:p>
        </w:tc>
        <w:tc>
          <w:tcPr>
            <w:tcW w:w="1127" w:type="pct"/>
            <w:vAlign w:val="center"/>
          </w:tcPr>
          <w:p w14:paraId="3FC1CDA8">
            <w:pPr>
              <w:spacing w:line="240" w:lineRule="auto"/>
              <w:jc w:val="center"/>
              <w:rPr>
                <w:rFonts w:hint="eastAsia" w:ascii="宋体" w:hAnsi="宋体" w:cs="宋体"/>
                <w:bCs/>
                <w:sz w:val="18"/>
                <w:szCs w:val="18"/>
              </w:rPr>
            </w:pPr>
            <w:r>
              <w:rPr>
                <w:rFonts w:hint="eastAsia" w:ascii="宋体" w:hAnsi="宋体" w:cs="宋体"/>
                <w:bCs/>
                <w:sz w:val="18"/>
                <w:szCs w:val="18"/>
              </w:rPr>
              <w:t>安装要求检查</w:t>
            </w:r>
          </w:p>
        </w:tc>
        <w:tc>
          <w:tcPr>
            <w:tcW w:w="688" w:type="pct"/>
            <w:vAlign w:val="center"/>
          </w:tcPr>
          <w:p w14:paraId="0B803ABB">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09875A08">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9" w:type="pct"/>
            <w:vAlign w:val="center"/>
          </w:tcPr>
          <w:p w14:paraId="12680F6F">
            <w:pPr>
              <w:spacing w:line="240" w:lineRule="auto"/>
              <w:jc w:val="center"/>
              <w:rPr>
                <w:rFonts w:hint="eastAsia" w:ascii="宋体" w:hAnsi="宋体" w:cs="宋体"/>
                <w:bCs/>
                <w:strike/>
                <w:sz w:val="18"/>
                <w:szCs w:val="18"/>
              </w:rPr>
            </w:pPr>
            <w:r>
              <w:rPr>
                <w:rFonts w:hint="eastAsia" w:ascii="宋体" w:hAnsi="宋体" w:cs="宋体"/>
                <w:bCs/>
                <w:sz w:val="18"/>
                <w:szCs w:val="18"/>
              </w:rPr>
              <w:t>√</w:t>
            </w:r>
          </w:p>
        </w:tc>
        <w:tc>
          <w:tcPr>
            <w:tcW w:w="694" w:type="pct"/>
            <w:vAlign w:val="center"/>
          </w:tcPr>
          <w:p w14:paraId="002966AB">
            <w:pPr>
              <w:spacing w:line="240" w:lineRule="auto"/>
              <w:jc w:val="center"/>
              <w:rPr>
                <w:rFonts w:hint="eastAsia" w:ascii="宋体" w:hAnsi="宋体" w:cs="宋体"/>
                <w:bCs/>
                <w:sz w:val="18"/>
                <w:szCs w:val="18"/>
              </w:rPr>
            </w:pPr>
            <w:r>
              <w:rPr>
                <w:rFonts w:hint="eastAsia" w:ascii="宋体" w:hAnsi="宋体" w:cs="宋体"/>
                <w:bCs/>
                <w:sz w:val="18"/>
                <w:szCs w:val="18"/>
              </w:rPr>
              <w:t>5.5</w:t>
            </w:r>
          </w:p>
        </w:tc>
        <w:tc>
          <w:tcPr>
            <w:tcW w:w="703" w:type="pct"/>
            <w:vAlign w:val="center"/>
          </w:tcPr>
          <w:p w14:paraId="3D84CED7">
            <w:pPr>
              <w:spacing w:line="240" w:lineRule="auto"/>
              <w:jc w:val="center"/>
              <w:rPr>
                <w:rFonts w:hint="eastAsia" w:ascii="宋体" w:hAnsi="宋体" w:cs="宋体"/>
                <w:bCs/>
                <w:sz w:val="18"/>
                <w:szCs w:val="18"/>
              </w:rPr>
            </w:pPr>
            <w:r>
              <w:rPr>
                <w:rFonts w:hint="eastAsia" w:ascii="宋体" w:hAnsi="宋体" w:cs="宋体"/>
                <w:bCs/>
                <w:sz w:val="18"/>
                <w:szCs w:val="18"/>
              </w:rPr>
              <w:t>6.6</w:t>
            </w:r>
          </w:p>
        </w:tc>
      </w:tr>
      <w:tr w14:paraId="53D3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2E5EAB15">
            <w:pPr>
              <w:spacing w:line="240" w:lineRule="auto"/>
              <w:jc w:val="center"/>
              <w:rPr>
                <w:rFonts w:hint="eastAsia" w:ascii="宋体" w:hAnsi="宋体" w:cs="宋体"/>
                <w:bCs/>
                <w:sz w:val="18"/>
                <w:szCs w:val="18"/>
              </w:rPr>
            </w:pPr>
            <w:r>
              <w:rPr>
                <w:rFonts w:hint="eastAsia" w:ascii="宋体" w:hAnsi="宋体" w:cs="宋体"/>
                <w:bCs/>
                <w:sz w:val="18"/>
                <w:szCs w:val="18"/>
              </w:rPr>
              <w:t>6</w:t>
            </w:r>
          </w:p>
        </w:tc>
        <w:tc>
          <w:tcPr>
            <w:tcW w:w="1127" w:type="pct"/>
            <w:vAlign w:val="center"/>
          </w:tcPr>
          <w:p w14:paraId="5143364A">
            <w:pPr>
              <w:spacing w:line="240" w:lineRule="auto"/>
              <w:jc w:val="center"/>
              <w:rPr>
                <w:rFonts w:hint="eastAsia" w:ascii="宋体" w:hAnsi="宋体" w:cs="宋体"/>
                <w:bCs/>
                <w:sz w:val="18"/>
                <w:szCs w:val="18"/>
              </w:rPr>
            </w:pPr>
            <w:r>
              <w:rPr>
                <w:rFonts w:hint="eastAsia" w:ascii="宋体" w:hAnsi="宋体" w:cs="宋体"/>
                <w:bCs/>
                <w:sz w:val="18"/>
                <w:szCs w:val="18"/>
              </w:rPr>
              <w:t>卫生安全要求检查</w:t>
            </w:r>
          </w:p>
        </w:tc>
        <w:tc>
          <w:tcPr>
            <w:tcW w:w="688" w:type="pct"/>
            <w:vAlign w:val="center"/>
          </w:tcPr>
          <w:p w14:paraId="09EA7DA1">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67D21366">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9" w:type="pct"/>
            <w:vAlign w:val="center"/>
          </w:tcPr>
          <w:p w14:paraId="02587CF3">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2A01DAC8">
            <w:pPr>
              <w:spacing w:line="240" w:lineRule="auto"/>
              <w:jc w:val="center"/>
              <w:rPr>
                <w:rFonts w:hint="eastAsia" w:ascii="宋体" w:hAnsi="宋体" w:cs="宋体"/>
                <w:bCs/>
                <w:sz w:val="18"/>
                <w:szCs w:val="18"/>
              </w:rPr>
            </w:pPr>
            <w:r>
              <w:rPr>
                <w:rFonts w:hint="eastAsia" w:ascii="宋体" w:hAnsi="宋体" w:cs="宋体"/>
                <w:bCs/>
                <w:sz w:val="18"/>
                <w:szCs w:val="18"/>
              </w:rPr>
              <w:t>5.6</w:t>
            </w:r>
          </w:p>
        </w:tc>
        <w:tc>
          <w:tcPr>
            <w:tcW w:w="703" w:type="pct"/>
            <w:vAlign w:val="center"/>
          </w:tcPr>
          <w:p w14:paraId="3255F92C">
            <w:pPr>
              <w:spacing w:line="240" w:lineRule="auto"/>
              <w:jc w:val="center"/>
              <w:rPr>
                <w:rFonts w:hint="eastAsia" w:ascii="宋体" w:hAnsi="宋体" w:cs="宋体"/>
                <w:bCs/>
                <w:sz w:val="18"/>
                <w:szCs w:val="18"/>
              </w:rPr>
            </w:pPr>
            <w:r>
              <w:rPr>
                <w:rFonts w:hint="eastAsia" w:ascii="宋体" w:hAnsi="宋体" w:cs="宋体"/>
                <w:bCs/>
                <w:sz w:val="18"/>
                <w:szCs w:val="18"/>
              </w:rPr>
              <w:t>6.7</w:t>
            </w:r>
          </w:p>
        </w:tc>
      </w:tr>
      <w:tr w14:paraId="45FD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48F9AD32">
            <w:pPr>
              <w:spacing w:line="240" w:lineRule="auto"/>
              <w:jc w:val="center"/>
              <w:rPr>
                <w:rFonts w:hint="eastAsia" w:ascii="宋体" w:hAnsi="宋体" w:cs="宋体"/>
                <w:bCs/>
                <w:sz w:val="18"/>
                <w:szCs w:val="18"/>
              </w:rPr>
            </w:pPr>
            <w:r>
              <w:rPr>
                <w:rFonts w:hint="eastAsia" w:ascii="宋体" w:hAnsi="宋体" w:cs="宋体"/>
                <w:bCs/>
                <w:sz w:val="18"/>
                <w:szCs w:val="18"/>
              </w:rPr>
              <w:t>7</w:t>
            </w:r>
          </w:p>
        </w:tc>
        <w:tc>
          <w:tcPr>
            <w:tcW w:w="1127" w:type="pct"/>
            <w:vAlign w:val="center"/>
          </w:tcPr>
          <w:p w14:paraId="44D094FD">
            <w:pPr>
              <w:spacing w:line="240" w:lineRule="auto"/>
              <w:jc w:val="center"/>
              <w:rPr>
                <w:rFonts w:hint="eastAsia" w:ascii="宋体" w:hAnsi="宋体" w:cs="宋体"/>
                <w:bCs/>
                <w:sz w:val="18"/>
                <w:szCs w:val="18"/>
              </w:rPr>
            </w:pPr>
            <w:r>
              <w:rPr>
                <w:rFonts w:hint="eastAsia" w:ascii="宋体" w:hAnsi="宋体" w:cs="宋体"/>
                <w:bCs/>
                <w:sz w:val="18"/>
                <w:szCs w:val="18"/>
              </w:rPr>
              <w:t>机械安全要求检查</w:t>
            </w:r>
          </w:p>
        </w:tc>
        <w:tc>
          <w:tcPr>
            <w:tcW w:w="688" w:type="pct"/>
            <w:vAlign w:val="center"/>
          </w:tcPr>
          <w:p w14:paraId="73569F91">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5891E72E">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9" w:type="pct"/>
            <w:vAlign w:val="center"/>
          </w:tcPr>
          <w:p w14:paraId="355FA981">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3E6C6355">
            <w:pPr>
              <w:spacing w:line="240" w:lineRule="auto"/>
              <w:jc w:val="center"/>
              <w:rPr>
                <w:rFonts w:hint="eastAsia" w:ascii="宋体" w:hAnsi="宋体" w:cs="宋体"/>
                <w:bCs/>
                <w:sz w:val="18"/>
                <w:szCs w:val="18"/>
              </w:rPr>
            </w:pPr>
            <w:r>
              <w:rPr>
                <w:rFonts w:hint="eastAsia" w:ascii="宋体" w:hAnsi="宋体" w:cs="宋体"/>
                <w:bCs/>
                <w:sz w:val="18"/>
                <w:szCs w:val="18"/>
              </w:rPr>
              <w:t>5.7</w:t>
            </w:r>
          </w:p>
        </w:tc>
        <w:tc>
          <w:tcPr>
            <w:tcW w:w="703" w:type="pct"/>
            <w:vAlign w:val="center"/>
          </w:tcPr>
          <w:p w14:paraId="137520AD">
            <w:pPr>
              <w:spacing w:line="240" w:lineRule="auto"/>
              <w:jc w:val="center"/>
              <w:rPr>
                <w:rFonts w:hint="eastAsia" w:ascii="宋体" w:hAnsi="宋体" w:cs="宋体"/>
                <w:bCs/>
                <w:sz w:val="18"/>
                <w:szCs w:val="18"/>
              </w:rPr>
            </w:pPr>
            <w:r>
              <w:rPr>
                <w:rFonts w:hint="eastAsia" w:ascii="宋体" w:hAnsi="宋体" w:cs="宋体"/>
                <w:bCs/>
                <w:sz w:val="18"/>
                <w:szCs w:val="18"/>
              </w:rPr>
              <w:t>6.8</w:t>
            </w:r>
          </w:p>
        </w:tc>
      </w:tr>
      <w:tr w14:paraId="7B16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2DDC57F7">
            <w:pPr>
              <w:spacing w:line="240" w:lineRule="auto"/>
              <w:jc w:val="center"/>
              <w:rPr>
                <w:rFonts w:hint="eastAsia" w:ascii="宋体" w:hAnsi="宋体" w:cs="宋体"/>
                <w:bCs/>
                <w:sz w:val="18"/>
                <w:szCs w:val="18"/>
              </w:rPr>
            </w:pPr>
            <w:r>
              <w:rPr>
                <w:rFonts w:hint="eastAsia" w:ascii="宋体" w:hAnsi="宋体" w:cs="宋体"/>
                <w:bCs/>
                <w:sz w:val="18"/>
                <w:szCs w:val="18"/>
              </w:rPr>
              <w:t>8</w:t>
            </w:r>
          </w:p>
        </w:tc>
        <w:tc>
          <w:tcPr>
            <w:tcW w:w="1127" w:type="pct"/>
            <w:vAlign w:val="center"/>
          </w:tcPr>
          <w:p w14:paraId="2F269681">
            <w:pPr>
              <w:spacing w:line="240" w:lineRule="auto"/>
              <w:jc w:val="center"/>
              <w:rPr>
                <w:rFonts w:hint="eastAsia" w:ascii="宋体" w:hAnsi="宋体" w:cs="宋体"/>
                <w:bCs/>
                <w:sz w:val="18"/>
                <w:szCs w:val="18"/>
              </w:rPr>
            </w:pPr>
            <w:r>
              <w:rPr>
                <w:rFonts w:hint="eastAsia" w:ascii="宋体" w:hAnsi="宋体" w:cs="宋体"/>
                <w:bCs/>
                <w:sz w:val="18"/>
                <w:szCs w:val="18"/>
              </w:rPr>
              <w:t>电气安全要求检查</w:t>
            </w:r>
          </w:p>
        </w:tc>
        <w:tc>
          <w:tcPr>
            <w:tcW w:w="688" w:type="pct"/>
            <w:vAlign w:val="center"/>
          </w:tcPr>
          <w:p w14:paraId="75804234">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6C7A624D">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9" w:type="pct"/>
            <w:vAlign w:val="center"/>
          </w:tcPr>
          <w:p w14:paraId="2C24970F">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7719A718">
            <w:pPr>
              <w:spacing w:line="240" w:lineRule="auto"/>
              <w:jc w:val="center"/>
              <w:rPr>
                <w:rFonts w:hint="eastAsia" w:ascii="宋体" w:hAnsi="宋体" w:cs="宋体"/>
                <w:bCs/>
                <w:sz w:val="18"/>
                <w:szCs w:val="18"/>
              </w:rPr>
            </w:pPr>
            <w:r>
              <w:rPr>
                <w:rFonts w:hint="eastAsia" w:ascii="宋体" w:hAnsi="宋体" w:cs="宋体"/>
                <w:bCs/>
                <w:sz w:val="18"/>
                <w:szCs w:val="18"/>
              </w:rPr>
              <w:t>5.8</w:t>
            </w:r>
          </w:p>
        </w:tc>
        <w:tc>
          <w:tcPr>
            <w:tcW w:w="703" w:type="pct"/>
            <w:vAlign w:val="center"/>
          </w:tcPr>
          <w:p w14:paraId="78047DD4">
            <w:pPr>
              <w:spacing w:line="240" w:lineRule="auto"/>
              <w:jc w:val="center"/>
              <w:rPr>
                <w:rFonts w:hint="eastAsia" w:ascii="宋体" w:hAnsi="宋体" w:cs="宋体"/>
                <w:bCs/>
                <w:sz w:val="18"/>
                <w:szCs w:val="18"/>
              </w:rPr>
            </w:pPr>
            <w:r>
              <w:rPr>
                <w:rFonts w:hint="eastAsia" w:ascii="宋体" w:hAnsi="宋体" w:cs="宋体"/>
                <w:bCs/>
                <w:sz w:val="18"/>
                <w:szCs w:val="18"/>
              </w:rPr>
              <w:t>6.9</w:t>
            </w:r>
          </w:p>
        </w:tc>
      </w:tr>
      <w:tr w14:paraId="3B50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17BBD38F">
            <w:pPr>
              <w:spacing w:line="240" w:lineRule="auto"/>
              <w:jc w:val="center"/>
              <w:rPr>
                <w:rFonts w:hint="eastAsia" w:ascii="宋体" w:hAnsi="宋体" w:cs="宋体"/>
                <w:bCs/>
                <w:sz w:val="18"/>
                <w:szCs w:val="18"/>
              </w:rPr>
            </w:pPr>
            <w:r>
              <w:rPr>
                <w:rFonts w:hint="eastAsia" w:ascii="宋体" w:hAnsi="宋体" w:cs="宋体"/>
                <w:bCs/>
                <w:sz w:val="18"/>
                <w:szCs w:val="18"/>
              </w:rPr>
              <w:t>9</w:t>
            </w:r>
          </w:p>
        </w:tc>
        <w:tc>
          <w:tcPr>
            <w:tcW w:w="1127" w:type="pct"/>
            <w:vAlign w:val="center"/>
          </w:tcPr>
          <w:p w14:paraId="39AFD24F">
            <w:pPr>
              <w:spacing w:line="240" w:lineRule="auto"/>
              <w:jc w:val="center"/>
              <w:rPr>
                <w:rFonts w:hint="eastAsia" w:ascii="宋体" w:hAnsi="宋体" w:cs="宋体"/>
                <w:bCs/>
                <w:sz w:val="18"/>
                <w:szCs w:val="18"/>
              </w:rPr>
            </w:pPr>
            <w:r>
              <w:rPr>
                <w:rFonts w:hint="eastAsia" w:ascii="宋体" w:hAnsi="宋体" w:cs="宋体"/>
                <w:bCs/>
                <w:sz w:val="18"/>
                <w:szCs w:val="18"/>
              </w:rPr>
              <w:t>成（配）套性检查</w:t>
            </w:r>
          </w:p>
        </w:tc>
        <w:tc>
          <w:tcPr>
            <w:tcW w:w="688" w:type="pct"/>
            <w:vAlign w:val="center"/>
          </w:tcPr>
          <w:p w14:paraId="1FDFF0BA">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622642A3">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9" w:type="pct"/>
            <w:vAlign w:val="center"/>
          </w:tcPr>
          <w:p w14:paraId="29DE8883">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25636621">
            <w:pPr>
              <w:spacing w:line="240" w:lineRule="auto"/>
              <w:jc w:val="center"/>
              <w:rPr>
                <w:rFonts w:hint="eastAsia" w:ascii="宋体" w:hAnsi="宋体" w:cs="宋体"/>
                <w:bCs/>
                <w:sz w:val="18"/>
                <w:szCs w:val="18"/>
              </w:rPr>
            </w:pPr>
            <w:r>
              <w:rPr>
                <w:rFonts w:hint="eastAsia" w:ascii="宋体" w:hAnsi="宋体" w:cs="宋体"/>
                <w:bCs/>
                <w:sz w:val="18"/>
                <w:szCs w:val="18"/>
              </w:rPr>
              <w:t>5.9</w:t>
            </w:r>
          </w:p>
        </w:tc>
        <w:tc>
          <w:tcPr>
            <w:tcW w:w="703" w:type="pct"/>
            <w:vAlign w:val="center"/>
          </w:tcPr>
          <w:p w14:paraId="224E0060">
            <w:pPr>
              <w:spacing w:line="240" w:lineRule="auto"/>
              <w:jc w:val="center"/>
              <w:rPr>
                <w:rFonts w:hint="eastAsia" w:ascii="宋体" w:hAnsi="宋体" w:cs="宋体"/>
                <w:bCs/>
                <w:sz w:val="18"/>
                <w:szCs w:val="18"/>
              </w:rPr>
            </w:pPr>
            <w:r>
              <w:rPr>
                <w:rFonts w:hint="eastAsia" w:ascii="宋体" w:hAnsi="宋体" w:cs="宋体"/>
                <w:bCs/>
                <w:sz w:val="18"/>
                <w:szCs w:val="18"/>
              </w:rPr>
              <w:t>6.10</w:t>
            </w:r>
          </w:p>
        </w:tc>
      </w:tr>
      <w:tr w14:paraId="60B4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0F37ABC0">
            <w:pPr>
              <w:spacing w:line="240" w:lineRule="auto"/>
              <w:jc w:val="center"/>
              <w:rPr>
                <w:rFonts w:hint="eastAsia" w:ascii="宋体" w:hAnsi="宋体" w:cs="宋体"/>
                <w:bCs/>
                <w:sz w:val="18"/>
                <w:szCs w:val="18"/>
              </w:rPr>
            </w:pPr>
            <w:r>
              <w:rPr>
                <w:rFonts w:hint="eastAsia" w:ascii="宋体" w:hAnsi="宋体" w:cs="宋体"/>
                <w:bCs/>
                <w:sz w:val="18"/>
                <w:szCs w:val="18"/>
              </w:rPr>
              <w:t>10</w:t>
            </w:r>
          </w:p>
        </w:tc>
        <w:tc>
          <w:tcPr>
            <w:tcW w:w="1127" w:type="pct"/>
            <w:vAlign w:val="center"/>
          </w:tcPr>
          <w:p w14:paraId="59F37228">
            <w:pPr>
              <w:spacing w:line="240" w:lineRule="auto"/>
              <w:jc w:val="center"/>
              <w:rPr>
                <w:rFonts w:hint="eastAsia" w:ascii="宋体" w:hAnsi="宋体" w:cs="宋体"/>
                <w:bCs/>
                <w:sz w:val="18"/>
                <w:szCs w:val="18"/>
              </w:rPr>
            </w:pPr>
            <w:r>
              <w:rPr>
                <w:rFonts w:hint="eastAsia" w:ascii="宋体" w:hAnsi="宋体" w:cs="宋体"/>
                <w:bCs/>
                <w:sz w:val="18"/>
                <w:szCs w:val="18"/>
              </w:rPr>
              <w:t>空载试验</w:t>
            </w:r>
          </w:p>
        </w:tc>
        <w:tc>
          <w:tcPr>
            <w:tcW w:w="688" w:type="pct"/>
            <w:vAlign w:val="center"/>
          </w:tcPr>
          <w:p w14:paraId="24E56573">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5AD1A2EA">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9" w:type="pct"/>
            <w:vAlign w:val="center"/>
          </w:tcPr>
          <w:p w14:paraId="0387FB3E">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25A45301">
            <w:pPr>
              <w:spacing w:line="240" w:lineRule="auto"/>
              <w:jc w:val="center"/>
              <w:rPr>
                <w:rFonts w:hint="eastAsia" w:ascii="宋体" w:hAnsi="宋体" w:cs="宋体"/>
                <w:bCs/>
                <w:sz w:val="18"/>
                <w:szCs w:val="18"/>
              </w:rPr>
            </w:pPr>
            <w:r>
              <w:rPr>
                <w:rFonts w:hint="eastAsia" w:ascii="宋体" w:hAnsi="宋体" w:cs="宋体"/>
                <w:bCs/>
                <w:sz w:val="18"/>
                <w:szCs w:val="18"/>
              </w:rPr>
              <w:t>6.11.1</w:t>
            </w:r>
          </w:p>
        </w:tc>
        <w:tc>
          <w:tcPr>
            <w:tcW w:w="703" w:type="pct"/>
            <w:vAlign w:val="center"/>
          </w:tcPr>
          <w:p w14:paraId="48DE21D8">
            <w:pPr>
              <w:spacing w:line="240" w:lineRule="auto"/>
              <w:jc w:val="center"/>
              <w:rPr>
                <w:rFonts w:hint="eastAsia" w:ascii="宋体" w:hAnsi="宋体" w:cs="宋体"/>
                <w:bCs/>
                <w:sz w:val="18"/>
                <w:szCs w:val="18"/>
              </w:rPr>
            </w:pPr>
            <w:r>
              <w:rPr>
                <w:rFonts w:hint="eastAsia" w:ascii="宋体" w:hAnsi="宋体" w:cs="宋体"/>
                <w:bCs/>
                <w:sz w:val="18"/>
                <w:szCs w:val="18"/>
              </w:rPr>
              <w:t>6.11.1</w:t>
            </w:r>
          </w:p>
        </w:tc>
      </w:tr>
      <w:tr w14:paraId="4250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3CDABBEB">
            <w:pPr>
              <w:spacing w:line="240" w:lineRule="auto"/>
              <w:jc w:val="center"/>
              <w:rPr>
                <w:rFonts w:hint="eastAsia" w:ascii="宋体" w:hAnsi="宋体" w:cs="宋体"/>
                <w:bCs/>
                <w:sz w:val="18"/>
                <w:szCs w:val="18"/>
              </w:rPr>
            </w:pPr>
            <w:r>
              <w:rPr>
                <w:rFonts w:hint="eastAsia" w:ascii="宋体" w:hAnsi="宋体" w:cs="宋体"/>
                <w:bCs/>
                <w:sz w:val="18"/>
                <w:szCs w:val="18"/>
              </w:rPr>
              <w:t>11</w:t>
            </w:r>
          </w:p>
        </w:tc>
        <w:tc>
          <w:tcPr>
            <w:tcW w:w="1127" w:type="pct"/>
            <w:vAlign w:val="center"/>
          </w:tcPr>
          <w:p w14:paraId="5EAB1C36">
            <w:pPr>
              <w:spacing w:line="240" w:lineRule="auto"/>
              <w:jc w:val="center"/>
              <w:rPr>
                <w:rFonts w:hint="eastAsia" w:ascii="宋体" w:hAnsi="宋体" w:cs="宋体"/>
                <w:bCs/>
                <w:sz w:val="18"/>
                <w:szCs w:val="18"/>
              </w:rPr>
            </w:pPr>
            <w:r>
              <w:rPr>
                <w:rFonts w:hint="eastAsia" w:ascii="宋体" w:hAnsi="宋体" w:cs="宋体"/>
                <w:bCs/>
                <w:sz w:val="18"/>
                <w:szCs w:val="18"/>
              </w:rPr>
              <w:t>负载试验</w:t>
            </w:r>
          </w:p>
        </w:tc>
        <w:tc>
          <w:tcPr>
            <w:tcW w:w="688" w:type="pct"/>
            <w:vAlign w:val="center"/>
          </w:tcPr>
          <w:p w14:paraId="15549F53">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5A786D36">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9" w:type="pct"/>
            <w:vAlign w:val="center"/>
          </w:tcPr>
          <w:p w14:paraId="158B7AD3">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4B55817B">
            <w:pPr>
              <w:spacing w:line="240" w:lineRule="auto"/>
              <w:jc w:val="center"/>
              <w:rPr>
                <w:rFonts w:hint="eastAsia" w:ascii="宋体" w:hAnsi="宋体" w:cs="宋体"/>
                <w:bCs/>
                <w:sz w:val="18"/>
                <w:szCs w:val="18"/>
              </w:rPr>
            </w:pPr>
            <w:r>
              <w:rPr>
                <w:rFonts w:hint="eastAsia" w:ascii="宋体" w:hAnsi="宋体" w:cs="宋体"/>
                <w:bCs/>
                <w:sz w:val="18"/>
                <w:szCs w:val="18"/>
              </w:rPr>
              <w:t>6.11.2</w:t>
            </w:r>
          </w:p>
        </w:tc>
        <w:tc>
          <w:tcPr>
            <w:tcW w:w="703" w:type="pct"/>
            <w:vAlign w:val="center"/>
          </w:tcPr>
          <w:p w14:paraId="496B269E">
            <w:pPr>
              <w:spacing w:line="240" w:lineRule="auto"/>
              <w:jc w:val="center"/>
              <w:rPr>
                <w:rFonts w:hint="eastAsia" w:ascii="宋体" w:hAnsi="宋体" w:cs="宋体"/>
                <w:bCs/>
                <w:sz w:val="18"/>
                <w:szCs w:val="18"/>
              </w:rPr>
            </w:pPr>
            <w:r>
              <w:rPr>
                <w:rFonts w:hint="eastAsia" w:ascii="宋体" w:hAnsi="宋体" w:cs="宋体"/>
                <w:bCs/>
                <w:sz w:val="18"/>
                <w:szCs w:val="18"/>
              </w:rPr>
              <w:t>6.11.2</w:t>
            </w:r>
          </w:p>
        </w:tc>
      </w:tr>
      <w:tr w14:paraId="7962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08BB60C6">
            <w:pPr>
              <w:spacing w:line="240" w:lineRule="auto"/>
              <w:jc w:val="center"/>
              <w:rPr>
                <w:rFonts w:hint="eastAsia" w:ascii="宋体" w:hAnsi="宋体" w:cs="宋体"/>
                <w:bCs/>
                <w:sz w:val="18"/>
                <w:szCs w:val="18"/>
              </w:rPr>
            </w:pPr>
            <w:r>
              <w:rPr>
                <w:rFonts w:hint="eastAsia" w:ascii="宋体" w:hAnsi="宋体" w:cs="宋体"/>
                <w:bCs/>
                <w:sz w:val="18"/>
                <w:szCs w:val="18"/>
              </w:rPr>
              <w:t>12</w:t>
            </w:r>
          </w:p>
        </w:tc>
        <w:tc>
          <w:tcPr>
            <w:tcW w:w="1127" w:type="pct"/>
            <w:vAlign w:val="center"/>
          </w:tcPr>
          <w:p w14:paraId="3F1DD8A7">
            <w:pPr>
              <w:spacing w:line="240" w:lineRule="auto"/>
              <w:jc w:val="center"/>
              <w:rPr>
                <w:rFonts w:hint="eastAsia" w:ascii="宋体" w:hAnsi="宋体" w:cs="宋体"/>
                <w:bCs/>
                <w:sz w:val="18"/>
                <w:szCs w:val="18"/>
              </w:rPr>
            </w:pPr>
            <w:r>
              <w:rPr>
                <w:rFonts w:hint="eastAsia" w:ascii="宋体" w:hAnsi="宋体" w:cs="宋体"/>
                <w:bCs/>
                <w:sz w:val="18"/>
                <w:szCs w:val="18"/>
              </w:rPr>
              <w:t>生产能力试验</w:t>
            </w:r>
          </w:p>
        </w:tc>
        <w:tc>
          <w:tcPr>
            <w:tcW w:w="688" w:type="pct"/>
            <w:vAlign w:val="center"/>
          </w:tcPr>
          <w:p w14:paraId="7801C94B">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2ADFC001">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9" w:type="pct"/>
            <w:vAlign w:val="center"/>
          </w:tcPr>
          <w:p w14:paraId="2D2E1A9C">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238FADD7">
            <w:pPr>
              <w:spacing w:line="240" w:lineRule="auto"/>
              <w:jc w:val="center"/>
              <w:rPr>
                <w:rFonts w:hint="eastAsia" w:ascii="宋体" w:hAnsi="宋体" w:cs="宋体"/>
                <w:bCs/>
                <w:sz w:val="18"/>
                <w:szCs w:val="18"/>
              </w:rPr>
            </w:pPr>
            <w:r>
              <w:rPr>
                <w:rFonts w:hint="eastAsia" w:ascii="宋体" w:hAnsi="宋体" w:cs="宋体"/>
                <w:bCs/>
                <w:sz w:val="18"/>
                <w:szCs w:val="18"/>
              </w:rPr>
              <w:t>5.10.1</w:t>
            </w:r>
          </w:p>
        </w:tc>
        <w:tc>
          <w:tcPr>
            <w:tcW w:w="703" w:type="pct"/>
            <w:vAlign w:val="center"/>
          </w:tcPr>
          <w:p w14:paraId="2418C3D3">
            <w:pPr>
              <w:spacing w:line="240" w:lineRule="auto"/>
              <w:jc w:val="center"/>
              <w:rPr>
                <w:rFonts w:hint="eastAsia" w:ascii="宋体" w:hAnsi="宋体" w:cs="宋体"/>
                <w:bCs/>
                <w:sz w:val="18"/>
                <w:szCs w:val="18"/>
              </w:rPr>
            </w:pPr>
            <w:r>
              <w:rPr>
                <w:rFonts w:hint="eastAsia" w:ascii="宋体" w:hAnsi="宋体" w:cs="宋体"/>
                <w:bCs/>
                <w:sz w:val="18"/>
                <w:szCs w:val="18"/>
              </w:rPr>
              <w:t>6.11.3</w:t>
            </w:r>
          </w:p>
        </w:tc>
      </w:tr>
      <w:tr w14:paraId="075A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76CAD7FA">
            <w:pPr>
              <w:spacing w:line="240" w:lineRule="auto"/>
              <w:jc w:val="center"/>
              <w:rPr>
                <w:rFonts w:hint="eastAsia" w:ascii="宋体" w:hAnsi="宋体" w:cs="宋体"/>
                <w:bCs/>
                <w:sz w:val="18"/>
                <w:szCs w:val="18"/>
              </w:rPr>
            </w:pPr>
            <w:r>
              <w:rPr>
                <w:rFonts w:hint="eastAsia" w:ascii="宋体" w:hAnsi="宋体" w:cs="宋体"/>
                <w:bCs/>
                <w:sz w:val="18"/>
                <w:szCs w:val="18"/>
              </w:rPr>
              <w:t>13</w:t>
            </w:r>
          </w:p>
        </w:tc>
        <w:tc>
          <w:tcPr>
            <w:tcW w:w="1127" w:type="pct"/>
            <w:vAlign w:val="center"/>
          </w:tcPr>
          <w:p w14:paraId="290F03E4">
            <w:pPr>
              <w:spacing w:line="240" w:lineRule="auto"/>
              <w:jc w:val="center"/>
              <w:rPr>
                <w:rFonts w:hint="eastAsia" w:ascii="宋体" w:hAnsi="宋体" w:cs="宋体"/>
                <w:bCs/>
                <w:sz w:val="18"/>
                <w:szCs w:val="18"/>
              </w:rPr>
            </w:pPr>
            <w:r>
              <w:rPr>
                <w:rFonts w:hint="eastAsia" w:ascii="宋体" w:hAnsi="宋体" w:cs="宋体"/>
                <w:bCs/>
                <w:sz w:val="18"/>
                <w:szCs w:val="18"/>
              </w:rPr>
              <w:t>生产效率试验</w:t>
            </w:r>
          </w:p>
        </w:tc>
        <w:tc>
          <w:tcPr>
            <w:tcW w:w="688" w:type="pct"/>
            <w:vAlign w:val="center"/>
          </w:tcPr>
          <w:p w14:paraId="34F3170D">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6DB2EBDE">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9" w:type="pct"/>
            <w:vAlign w:val="center"/>
          </w:tcPr>
          <w:p w14:paraId="437096A2">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004AC941">
            <w:pPr>
              <w:spacing w:line="240" w:lineRule="auto"/>
              <w:jc w:val="center"/>
              <w:rPr>
                <w:rFonts w:hint="eastAsia" w:ascii="宋体" w:hAnsi="宋体" w:cs="宋体"/>
                <w:bCs/>
                <w:sz w:val="18"/>
                <w:szCs w:val="18"/>
              </w:rPr>
            </w:pPr>
            <w:r>
              <w:rPr>
                <w:rFonts w:hint="eastAsia" w:ascii="宋体" w:hAnsi="宋体" w:cs="宋体"/>
                <w:bCs/>
                <w:sz w:val="18"/>
                <w:szCs w:val="18"/>
              </w:rPr>
              <w:t>5.10.1</w:t>
            </w:r>
          </w:p>
        </w:tc>
        <w:tc>
          <w:tcPr>
            <w:tcW w:w="703" w:type="pct"/>
            <w:vAlign w:val="center"/>
          </w:tcPr>
          <w:p w14:paraId="17BEC34E">
            <w:pPr>
              <w:spacing w:line="240" w:lineRule="auto"/>
              <w:jc w:val="center"/>
              <w:rPr>
                <w:rFonts w:hint="eastAsia" w:ascii="宋体" w:hAnsi="宋体" w:cs="宋体"/>
                <w:bCs/>
                <w:sz w:val="18"/>
                <w:szCs w:val="18"/>
              </w:rPr>
            </w:pPr>
            <w:r>
              <w:rPr>
                <w:rFonts w:hint="eastAsia" w:ascii="宋体" w:hAnsi="宋体" w:cs="宋体"/>
                <w:bCs/>
                <w:sz w:val="18"/>
                <w:szCs w:val="18"/>
              </w:rPr>
              <w:t>6.11.4</w:t>
            </w:r>
          </w:p>
        </w:tc>
      </w:tr>
      <w:tr w14:paraId="37ED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09206765">
            <w:pPr>
              <w:spacing w:line="240" w:lineRule="auto"/>
              <w:jc w:val="center"/>
              <w:rPr>
                <w:rFonts w:hint="eastAsia" w:ascii="宋体" w:hAnsi="宋体" w:cs="宋体"/>
                <w:bCs/>
                <w:sz w:val="18"/>
                <w:szCs w:val="18"/>
              </w:rPr>
            </w:pPr>
            <w:r>
              <w:rPr>
                <w:rFonts w:hint="eastAsia" w:ascii="宋体" w:hAnsi="宋体" w:cs="宋体"/>
                <w:bCs/>
                <w:sz w:val="18"/>
                <w:szCs w:val="18"/>
              </w:rPr>
              <w:t>14</w:t>
            </w:r>
          </w:p>
        </w:tc>
        <w:tc>
          <w:tcPr>
            <w:tcW w:w="1127" w:type="pct"/>
            <w:vAlign w:val="center"/>
          </w:tcPr>
          <w:p w14:paraId="3BD7B7CE">
            <w:pPr>
              <w:spacing w:line="240" w:lineRule="auto"/>
              <w:jc w:val="center"/>
              <w:rPr>
                <w:rFonts w:hint="eastAsia" w:ascii="宋体" w:hAnsi="宋体" w:cs="宋体"/>
                <w:bCs/>
                <w:sz w:val="18"/>
                <w:szCs w:val="18"/>
              </w:rPr>
            </w:pPr>
            <w:r>
              <w:rPr>
                <w:rFonts w:hint="eastAsia" w:ascii="宋体" w:hAnsi="宋体" w:cs="宋体"/>
                <w:bCs/>
                <w:sz w:val="18"/>
                <w:szCs w:val="18"/>
              </w:rPr>
              <w:t>产品合格率试验</w:t>
            </w:r>
          </w:p>
        </w:tc>
        <w:tc>
          <w:tcPr>
            <w:tcW w:w="688" w:type="pct"/>
            <w:vAlign w:val="center"/>
          </w:tcPr>
          <w:p w14:paraId="610C775F">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68D4E630">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9" w:type="pct"/>
            <w:vAlign w:val="center"/>
          </w:tcPr>
          <w:p w14:paraId="3A4F6DC7">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47E22920">
            <w:pPr>
              <w:spacing w:line="240" w:lineRule="auto"/>
              <w:jc w:val="center"/>
              <w:rPr>
                <w:rFonts w:hint="eastAsia" w:ascii="宋体" w:hAnsi="宋体" w:cs="宋体"/>
                <w:bCs/>
                <w:sz w:val="18"/>
                <w:szCs w:val="18"/>
              </w:rPr>
            </w:pPr>
            <w:r>
              <w:rPr>
                <w:rFonts w:hint="eastAsia" w:ascii="宋体" w:hAnsi="宋体" w:cs="宋体"/>
                <w:bCs/>
                <w:sz w:val="18"/>
                <w:szCs w:val="18"/>
              </w:rPr>
              <w:t>5.10.1</w:t>
            </w:r>
          </w:p>
        </w:tc>
        <w:tc>
          <w:tcPr>
            <w:tcW w:w="703" w:type="pct"/>
            <w:vAlign w:val="center"/>
          </w:tcPr>
          <w:p w14:paraId="3E718AD0">
            <w:pPr>
              <w:spacing w:line="240" w:lineRule="auto"/>
              <w:jc w:val="center"/>
              <w:rPr>
                <w:rFonts w:hint="eastAsia" w:ascii="宋体" w:hAnsi="宋体" w:cs="宋体"/>
                <w:bCs/>
                <w:sz w:val="18"/>
                <w:szCs w:val="18"/>
              </w:rPr>
            </w:pPr>
            <w:r>
              <w:rPr>
                <w:rFonts w:hint="eastAsia" w:ascii="宋体" w:hAnsi="宋体" w:cs="宋体"/>
                <w:bCs/>
                <w:sz w:val="18"/>
                <w:szCs w:val="18"/>
              </w:rPr>
              <w:t>6.11.5</w:t>
            </w:r>
          </w:p>
        </w:tc>
      </w:tr>
      <w:tr w14:paraId="674B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389B4907">
            <w:pPr>
              <w:spacing w:line="240" w:lineRule="auto"/>
              <w:jc w:val="center"/>
              <w:rPr>
                <w:rFonts w:hint="eastAsia" w:ascii="宋体" w:hAnsi="宋体" w:cs="宋体"/>
                <w:bCs/>
                <w:sz w:val="18"/>
                <w:szCs w:val="18"/>
              </w:rPr>
            </w:pPr>
            <w:r>
              <w:rPr>
                <w:rFonts w:hint="eastAsia" w:ascii="宋体" w:hAnsi="宋体" w:cs="宋体"/>
                <w:bCs/>
                <w:sz w:val="18"/>
                <w:szCs w:val="18"/>
              </w:rPr>
              <w:t>15</w:t>
            </w:r>
          </w:p>
        </w:tc>
        <w:tc>
          <w:tcPr>
            <w:tcW w:w="1127" w:type="pct"/>
            <w:vAlign w:val="center"/>
          </w:tcPr>
          <w:p w14:paraId="6AAF5B0F">
            <w:pPr>
              <w:spacing w:line="240" w:lineRule="auto"/>
              <w:jc w:val="center"/>
              <w:rPr>
                <w:rFonts w:hint="eastAsia" w:ascii="宋体" w:hAnsi="宋体" w:cs="宋体"/>
                <w:bCs/>
                <w:sz w:val="18"/>
                <w:szCs w:val="18"/>
              </w:rPr>
            </w:pPr>
            <w:r>
              <w:rPr>
                <w:rFonts w:hint="eastAsia" w:ascii="宋体" w:hAnsi="宋体" w:cs="宋体"/>
                <w:bCs/>
                <w:sz w:val="18"/>
                <w:szCs w:val="18"/>
              </w:rPr>
              <w:t>使用有效度试验</w:t>
            </w:r>
          </w:p>
        </w:tc>
        <w:tc>
          <w:tcPr>
            <w:tcW w:w="688" w:type="pct"/>
            <w:vAlign w:val="center"/>
          </w:tcPr>
          <w:p w14:paraId="7AE190CD">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44CD1A53">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9" w:type="pct"/>
            <w:vAlign w:val="center"/>
          </w:tcPr>
          <w:p w14:paraId="4B29479C">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4C95423C">
            <w:pPr>
              <w:spacing w:line="240" w:lineRule="auto"/>
              <w:jc w:val="center"/>
              <w:rPr>
                <w:rFonts w:hint="eastAsia" w:ascii="宋体" w:hAnsi="宋体" w:cs="宋体"/>
                <w:bCs/>
                <w:sz w:val="18"/>
                <w:szCs w:val="18"/>
              </w:rPr>
            </w:pPr>
            <w:r>
              <w:rPr>
                <w:rFonts w:hint="eastAsia" w:ascii="宋体" w:hAnsi="宋体" w:cs="宋体"/>
                <w:bCs/>
                <w:sz w:val="18"/>
                <w:szCs w:val="18"/>
              </w:rPr>
              <w:t>5.10.1</w:t>
            </w:r>
          </w:p>
        </w:tc>
        <w:tc>
          <w:tcPr>
            <w:tcW w:w="703" w:type="pct"/>
            <w:vAlign w:val="center"/>
          </w:tcPr>
          <w:p w14:paraId="28169343">
            <w:pPr>
              <w:spacing w:line="240" w:lineRule="auto"/>
              <w:jc w:val="center"/>
              <w:rPr>
                <w:rFonts w:hint="eastAsia" w:ascii="宋体" w:hAnsi="宋体" w:cs="宋体"/>
                <w:bCs/>
                <w:sz w:val="18"/>
                <w:szCs w:val="18"/>
              </w:rPr>
            </w:pPr>
            <w:r>
              <w:rPr>
                <w:rFonts w:hint="eastAsia" w:ascii="宋体" w:hAnsi="宋体" w:cs="宋体"/>
                <w:bCs/>
                <w:sz w:val="18"/>
                <w:szCs w:val="18"/>
              </w:rPr>
              <w:t>6.11.6</w:t>
            </w:r>
          </w:p>
        </w:tc>
      </w:tr>
      <w:tr w14:paraId="2E47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5B5D9ADC">
            <w:pPr>
              <w:spacing w:line="240" w:lineRule="auto"/>
              <w:jc w:val="center"/>
              <w:rPr>
                <w:rFonts w:hint="eastAsia" w:ascii="宋体" w:hAnsi="宋体" w:cs="宋体"/>
                <w:bCs/>
                <w:sz w:val="18"/>
                <w:szCs w:val="18"/>
              </w:rPr>
            </w:pPr>
            <w:r>
              <w:rPr>
                <w:rFonts w:hint="eastAsia" w:ascii="宋体" w:hAnsi="宋体" w:cs="宋体"/>
                <w:bCs/>
                <w:sz w:val="18"/>
                <w:szCs w:val="18"/>
              </w:rPr>
              <w:t>16</w:t>
            </w:r>
          </w:p>
        </w:tc>
        <w:tc>
          <w:tcPr>
            <w:tcW w:w="1127" w:type="pct"/>
            <w:vAlign w:val="center"/>
          </w:tcPr>
          <w:p w14:paraId="50DBAC4A">
            <w:pPr>
              <w:spacing w:line="240" w:lineRule="auto"/>
              <w:jc w:val="center"/>
              <w:rPr>
                <w:rFonts w:hint="eastAsia" w:ascii="宋体" w:hAnsi="宋体" w:cs="宋体"/>
                <w:bCs/>
                <w:sz w:val="18"/>
                <w:szCs w:val="18"/>
              </w:rPr>
            </w:pPr>
            <w:r>
              <w:rPr>
                <w:rFonts w:hint="eastAsia" w:ascii="宋体" w:hAnsi="宋体" w:cs="宋体"/>
                <w:bCs/>
                <w:sz w:val="18"/>
                <w:szCs w:val="18"/>
              </w:rPr>
              <w:t>工作噪声检测</w:t>
            </w:r>
          </w:p>
        </w:tc>
        <w:tc>
          <w:tcPr>
            <w:tcW w:w="688" w:type="pct"/>
            <w:vAlign w:val="center"/>
          </w:tcPr>
          <w:p w14:paraId="3F01BF08">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4B345F30">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9" w:type="pct"/>
            <w:vAlign w:val="center"/>
          </w:tcPr>
          <w:p w14:paraId="0E756843">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28724FE1">
            <w:pPr>
              <w:spacing w:line="240" w:lineRule="auto"/>
              <w:jc w:val="center"/>
              <w:rPr>
                <w:rFonts w:hint="eastAsia" w:ascii="宋体" w:hAnsi="宋体" w:cs="宋体"/>
                <w:bCs/>
                <w:sz w:val="18"/>
                <w:szCs w:val="18"/>
              </w:rPr>
            </w:pPr>
            <w:r>
              <w:rPr>
                <w:rFonts w:hint="eastAsia" w:ascii="宋体" w:hAnsi="宋体" w:cs="宋体"/>
                <w:bCs/>
                <w:sz w:val="18"/>
                <w:szCs w:val="18"/>
              </w:rPr>
              <w:t>5.10.1</w:t>
            </w:r>
          </w:p>
        </w:tc>
        <w:tc>
          <w:tcPr>
            <w:tcW w:w="703" w:type="pct"/>
            <w:vAlign w:val="center"/>
          </w:tcPr>
          <w:p w14:paraId="7C98DF40">
            <w:pPr>
              <w:spacing w:line="240" w:lineRule="auto"/>
              <w:jc w:val="center"/>
              <w:rPr>
                <w:rFonts w:hint="eastAsia" w:ascii="宋体" w:hAnsi="宋体" w:cs="宋体"/>
                <w:bCs/>
                <w:sz w:val="18"/>
                <w:szCs w:val="18"/>
              </w:rPr>
            </w:pPr>
            <w:r>
              <w:rPr>
                <w:rFonts w:hint="eastAsia" w:ascii="宋体" w:hAnsi="宋体" w:cs="宋体"/>
                <w:bCs/>
                <w:sz w:val="18"/>
                <w:szCs w:val="18"/>
              </w:rPr>
              <w:t>6.11.7</w:t>
            </w:r>
          </w:p>
        </w:tc>
      </w:tr>
      <w:tr w14:paraId="768E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600B3D84">
            <w:pPr>
              <w:spacing w:line="240" w:lineRule="auto"/>
              <w:jc w:val="center"/>
              <w:rPr>
                <w:rFonts w:hint="eastAsia" w:ascii="宋体" w:hAnsi="宋体" w:cs="宋体"/>
                <w:bCs/>
                <w:sz w:val="18"/>
                <w:szCs w:val="18"/>
              </w:rPr>
            </w:pPr>
            <w:r>
              <w:rPr>
                <w:rFonts w:hint="eastAsia" w:ascii="宋体" w:hAnsi="宋体" w:cs="宋体"/>
                <w:bCs/>
                <w:sz w:val="18"/>
                <w:szCs w:val="18"/>
              </w:rPr>
              <w:t>17</w:t>
            </w:r>
          </w:p>
        </w:tc>
        <w:tc>
          <w:tcPr>
            <w:tcW w:w="1127" w:type="pct"/>
            <w:vAlign w:val="center"/>
          </w:tcPr>
          <w:p w14:paraId="38523E07">
            <w:pPr>
              <w:spacing w:line="240" w:lineRule="auto"/>
              <w:jc w:val="center"/>
              <w:rPr>
                <w:rFonts w:hint="eastAsia" w:ascii="宋体" w:hAnsi="宋体" w:cs="宋体"/>
                <w:bCs/>
                <w:sz w:val="18"/>
                <w:szCs w:val="18"/>
              </w:rPr>
            </w:pPr>
            <w:r>
              <w:rPr>
                <w:rFonts w:hint="eastAsia" w:ascii="宋体" w:hAnsi="宋体" w:cs="宋体"/>
                <w:bCs/>
                <w:sz w:val="18"/>
                <w:szCs w:val="18"/>
              </w:rPr>
              <w:t>标志检查</w:t>
            </w:r>
          </w:p>
        </w:tc>
        <w:tc>
          <w:tcPr>
            <w:tcW w:w="688" w:type="pct"/>
            <w:vAlign w:val="center"/>
          </w:tcPr>
          <w:p w14:paraId="697DC20C">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3E325651">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9" w:type="pct"/>
            <w:vAlign w:val="center"/>
          </w:tcPr>
          <w:p w14:paraId="10646669">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6DAD0251">
            <w:pPr>
              <w:spacing w:line="240" w:lineRule="auto"/>
              <w:jc w:val="center"/>
              <w:rPr>
                <w:rFonts w:hint="eastAsia" w:ascii="宋体" w:hAnsi="宋体" w:cs="宋体"/>
                <w:bCs/>
                <w:sz w:val="18"/>
                <w:szCs w:val="18"/>
              </w:rPr>
            </w:pPr>
            <w:r>
              <w:rPr>
                <w:rFonts w:hint="eastAsia" w:ascii="宋体" w:hAnsi="宋体" w:cs="宋体"/>
                <w:bCs/>
                <w:sz w:val="18"/>
                <w:szCs w:val="18"/>
              </w:rPr>
              <w:t>8.1</w:t>
            </w:r>
          </w:p>
        </w:tc>
        <w:tc>
          <w:tcPr>
            <w:tcW w:w="703" w:type="pct"/>
            <w:vAlign w:val="center"/>
          </w:tcPr>
          <w:p w14:paraId="6C117942">
            <w:pPr>
              <w:spacing w:line="240" w:lineRule="auto"/>
              <w:jc w:val="center"/>
              <w:rPr>
                <w:rFonts w:hint="eastAsia" w:ascii="宋体" w:hAnsi="宋体" w:cs="宋体"/>
                <w:bCs/>
                <w:sz w:val="18"/>
                <w:szCs w:val="18"/>
              </w:rPr>
            </w:pPr>
            <w:r>
              <w:rPr>
                <w:rFonts w:hint="eastAsia" w:ascii="宋体" w:hAnsi="宋体" w:cs="宋体"/>
                <w:bCs/>
                <w:sz w:val="18"/>
                <w:szCs w:val="18"/>
              </w:rPr>
              <w:t>8.1</w:t>
            </w:r>
          </w:p>
        </w:tc>
      </w:tr>
      <w:tr w14:paraId="1FF3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2B402E4F">
            <w:pPr>
              <w:spacing w:line="240" w:lineRule="auto"/>
              <w:jc w:val="center"/>
              <w:rPr>
                <w:rFonts w:hint="eastAsia" w:ascii="宋体" w:hAnsi="宋体" w:cs="宋体"/>
                <w:bCs/>
                <w:sz w:val="18"/>
                <w:szCs w:val="18"/>
              </w:rPr>
            </w:pPr>
            <w:r>
              <w:rPr>
                <w:rFonts w:hint="eastAsia" w:ascii="宋体" w:hAnsi="宋体" w:cs="宋体"/>
                <w:bCs/>
                <w:sz w:val="18"/>
                <w:szCs w:val="18"/>
              </w:rPr>
              <w:t>18</w:t>
            </w:r>
          </w:p>
        </w:tc>
        <w:tc>
          <w:tcPr>
            <w:tcW w:w="1127" w:type="pct"/>
            <w:vAlign w:val="center"/>
          </w:tcPr>
          <w:p w14:paraId="678EFC36">
            <w:pPr>
              <w:spacing w:line="240" w:lineRule="auto"/>
              <w:jc w:val="center"/>
              <w:rPr>
                <w:rFonts w:hint="eastAsia" w:ascii="宋体" w:hAnsi="宋体" w:cs="宋体"/>
                <w:bCs/>
                <w:sz w:val="18"/>
                <w:szCs w:val="18"/>
              </w:rPr>
            </w:pPr>
            <w:r>
              <w:rPr>
                <w:rFonts w:hint="eastAsia" w:ascii="宋体" w:hAnsi="宋体" w:cs="宋体"/>
                <w:bCs/>
                <w:sz w:val="18"/>
                <w:szCs w:val="18"/>
              </w:rPr>
              <w:t>技术文件检查</w:t>
            </w:r>
          </w:p>
        </w:tc>
        <w:tc>
          <w:tcPr>
            <w:tcW w:w="688" w:type="pct"/>
            <w:vAlign w:val="center"/>
          </w:tcPr>
          <w:p w14:paraId="603E96C4">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4F304B9E">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9" w:type="pct"/>
            <w:vAlign w:val="center"/>
          </w:tcPr>
          <w:p w14:paraId="36DBF968">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7512BFA3">
            <w:pPr>
              <w:spacing w:line="240" w:lineRule="auto"/>
              <w:jc w:val="center"/>
              <w:rPr>
                <w:rFonts w:hint="eastAsia" w:ascii="宋体" w:hAnsi="宋体" w:cs="宋体"/>
                <w:bCs/>
                <w:sz w:val="18"/>
                <w:szCs w:val="18"/>
              </w:rPr>
            </w:pPr>
            <w:r>
              <w:rPr>
                <w:rFonts w:hint="eastAsia" w:ascii="宋体" w:hAnsi="宋体" w:cs="宋体"/>
                <w:bCs/>
                <w:sz w:val="18"/>
                <w:szCs w:val="18"/>
              </w:rPr>
              <w:t>8.2.4</w:t>
            </w:r>
          </w:p>
        </w:tc>
        <w:tc>
          <w:tcPr>
            <w:tcW w:w="703" w:type="pct"/>
            <w:vAlign w:val="center"/>
          </w:tcPr>
          <w:p w14:paraId="137DE96B">
            <w:pPr>
              <w:spacing w:line="240" w:lineRule="auto"/>
              <w:jc w:val="center"/>
              <w:rPr>
                <w:rFonts w:hint="eastAsia" w:ascii="宋体" w:hAnsi="宋体" w:cs="宋体"/>
                <w:bCs/>
                <w:sz w:val="18"/>
                <w:szCs w:val="18"/>
              </w:rPr>
            </w:pPr>
            <w:r>
              <w:rPr>
                <w:rFonts w:hint="eastAsia" w:ascii="宋体" w:hAnsi="宋体" w:cs="宋体"/>
                <w:bCs/>
                <w:sz w:val="18"/>
                <w:szCs w:val="18"/>
              </w:rPr>
              <w:t>8.2.4</w:t>
            </w:r>
          </w:p>
        </w:tc>
      </w:tr>
      <w:tr w14:paraId="77CD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Align w:val="center"/>
          </w:tcPr>
          <w:p w14:paraId="518966C8">
            <w:pPr>
              <w:spacing w:line="240" w:lineRule="auto"/>
              <w:jc w:val="both"/>
              <w:rPr>
                <w:rFonts w:hint="eastAsia" w:ascii="宋体" w:hAnsi="宋体" w:cs="宋体"/>
                <w:bCs/>
                <w:sz w:val="18"/>
                <w:szCs w:val="18"/>
              </w:rPr>
            </w:pPr>
            <w:r>
              <w:rPr>
                <w:rFonts w:hint="eastAsia" w:ascii="宋体" w:hAnsi="宋体" w:cs="宋体"/>
                <w:bCs/>
                <w:sz w:val="18"/>
                <w:szCs w:val="18"/>
              </w:rPr>
              <w:t>注：“√”表示检验项目；“—”表示非检验项目。</w:t>
            </w:r>
          </w:p>
        </w:tc>
      </w:tr>
    </w:tbl>
    <w:p w14:paraId="1111847C">
      <w:pPr>
        <w:pStyle w:val="268"/>
        <w:numPr>
          <w:ilvl w:val="3"/>
          <w:numId w:val="35"/>
        </w:numPr>
        <w:spacing w:before="0" w:beforeLines="0" w:after="0" w:afterLines="0" w:line="240" w:lineRule="auto"/>
        <w:jc w:val="both"/>
        <w:outlineLvl w:val="2"/>
        <w:rPr>
          <w:rFonts w:hint="eastAsia" w:ascii="宋体" w:hAnsi="宋体" w:eastAsia="宋体" w:cs="宋体"/>
          <w:color w:val="000000" w:themeColor="text1"/>
          <w14:textFill>
            <w14:solidFill>
              <w14:schemeClr w14:val="tx1"/>
            </w14:solidFill>
          </w14:textFill>
        </w:rPr>
      </w:pPr>
      <w:bookmarkStart w:id="767" w:name="_Toc198918557"/>
      <w:bookmarkStart w:id="768" w:name="_Toc204448646"/>
      <w:bookmarkStart w:id="769" w:name="_Toc196300384"/>
      <w:bookmarkStart w:id="770" w:name="_Toc198211266"/>
      <w:r>
        <w:rPr>
          <w:rFonts w:hint="eastAsia" w:ascii="宋体" w:hAnsi="宋体" w:eastAsia="宋体" w:cs="宋体"/>
          <w:color w:val="000000" w:themeColor="text1"/>
          <w14:textFill>
            <w14:solidFill>
              <w14:schemeClr w14:val="tx1"/>
            </w14:solidFill>
          </w14:textFill>
        </w:rPr>
        <w:t>判定规则：出厂检验如有不合格项，可修正后复检，复检仍不合格则判定该设备不合格，其中安全性能不可复检。</w:t>
      </w:r>
      <w:bookmarkEnd w:id="767"/>
      <w:bookmarkEnd w:id="768"/>
      <w:bookmarkEnd w:id="769"/>
      <w:bookmarkEnd w:id="770"/>
    </w:p>
    <w:p w14:paraId="7EEF3562">
      <w:pPr>
        <w:pStyle w:val="268"/>
        <w:numPr>
          <w:ilvl w:val="3"/>
          <w:numId w:val="35"/>
        </w:numPr>
        <w:spacing w:before="0" w:beforeLines="0" w:after="0" w:afterLines="0" w:line="240" w:lineRule="auto"/>
        <w:jc w:val="both"/>
        <w:outlineLvl w:val="2"/>
        <w:rPr>
          <w:rFonts w:hint="eastAsia" w:ascii="宋体" w:hAnsi="宋体" w:eastAsia="宋体" w:cs="宋体"/>
          <w:color w:val="000000" w:themeColor="text1"/>
          <w14:textFill>
            <w14:solidFill>
              <w14:schemeClr w14:val="tx1"/>
            </w14:solidFill>
          </w14:textFill>
        </w:rPr>
      </w:pPr>
      <w:bookmarkStart w:id="771" w:name="_Toc198211267"/>
      <w:bookmarkStart w:id="772" w:name="_Toc198918558"/>
      <w:bookmarkStart w:id="773" w:name="_Toc204448647"/>
      <w:r>
        <w:rPr>
          <w:rFonts w:hint="eastAsia" w:ascii="宋体" w:hAnsi="宋体" w:eastAsia="宋体" w:cs="宋体"/>
          <w:color w:val="000000" w:themeColor="text1"/>
          <w14:textFill>
            <w14:solidFill>
              <w14:schemeClr w14:val="tx1"/>
            </w14:solidFill>
          </w14:textFill>
        </w:rPr>
        <w:t>设备应经过制造厂检验部门检验合格，并签发合格证后方可出厂。</w:t>
      </w:r>
      <w:bookmarkEnd w:id="771"/>
      <w:bookmarkEnd w:id="772"/>
      <w:bookmarkEnd w:id="773"/>
    </w:p>
    <w:bookmarkEnd w:id="763"/>
    <w:bookmarkEnd w:id="764"/>
    <w:bookmarkEnd w:id="765"/>
    <w:bookmarkEnd w:id="766"/>
    <w:p w14:paraId="7F20AF29">
      <w:pPr>
        <w:pStyle w:val="268"/>
        <w:numPr>
          <w:ilvl w:val="2"/>
          <w:numId w:val="35"/>
        </w:numPr>
        <w:spacing w:before="120" w:beforeLines="50" w:after="120" w:afterLines="50" w:line="240" w:lineRule="auto"/>
        <w:jc w:val="both"/>
        <w:outlineLvl w:val="1"/>
        <w:rPr>
          <w:rFonts w:hint="eastAsia"/>
        </w:rPr>
      </w:pPr>
      <w:bookmarkStart w:id="774" w:name="_Toc196411999"/>
      <w:bookmarkEnd w:id="774"/>
      <w:bookmarkStart w:id="775" w:name="_Toc30186"/>
      <w:bookmarkStart w:id="776" w:name="_Toc196412004"/>
      <w:bookmarkStart w:id="777" w:name="_Toc30992"/>
      <w:bookmarkStart w:id="778" w:name="_Toc31826"/>
      <w:bookmarkStart w:id="779" w:name="_Toc3767"/>
      <w:bookmarkStart w:id="780" w:name="_Toc11086"/>
      <w:bookmarkStart w:id="781" w:name="_Hlk106987530"/>
      <w:r>
        <w:rPr>
          <w:rFonts w:hint="eastAsia"/>
        </w:rPr>
        <w:t>安装和调试检验</w:t>
      </w:r>
      <w:bookmarkEnd w:id="775"/>
      <w:bookmarkEnd w:id="776"/>
      <w:bookmarkEnd w:id="777"/>
      <w:bookmarkEnd w:id="778"/>
      <w:bookmarkEnd w:id="779"/>
      <w:bookmarkEnd w:id="780"/>
    </w:p>
    <w:p w14:paraId="7B567839">
      <w:pPr>
        <w:pStyle w:val="268"/>
        <w:numPr>
          <w:ilvl w:val="3"/>
          <w:numId w:val="35"/>
        </w:numPr>
        <w:spacing w:before="0" w:beforeLines="0" w:after="0" w:afterLines="0" w:line="240" w:lineRule="auto"/>
        <w:jc w:val="both"/>
        <w:outlineLvl w:val="2"/>
        <w:rPr>
          <w:rFonts w:hint="eastAsia" w:ascii="宋体" w:hAnsi="宋体" w:eastAsia="宋体"/>
          <w:szCs w:val="24"/>
        </w:rPr>
      </w:pPr>
      <w:bookmarkStart w:id="782" w:name="_Toc196300386"/>
      <w:bookmarkStart w:id="783" w:name="_Toc196412005"/>
      <w:bookmarkStart w:id="784" w:name="_Toc204448649"/>
      <w:r>
        <w:rPr>
          <w:rFonts w:hint="eastAsia" w:ascii="宋体" w:hAnsi="宋体" w:eastAsia="宋体"/>
          <w:szCs w:val="24"/>
        </w:rPr>
        <w:t>检验项目：</w:t>
      </w:r>
      <w:bookmarkEnd w:id="782"/>
      <w:bookmarkEnd w:id="783"/>
      <w:r>
        <w:rPr>
          <w:rFonts w:hint="eastAsia" w:ascii="宋体" w:hAnsi="宋体" w:eastAsia="宋体"/>
          <w:szCs w:val="24"/>
        </w:rPr>
        <w:t>设备均应进行安装和调试检验，检验项目见表2。</w:t>
      </w:r>
      <w:bookmarkEnd w:id="784"/>
    </w:p>
    <w:p w14:paraId="35469E58">
      <w:pPr>
        <w:pStyle w:val="268"/>
        <w:numPr>
          <w:ilvl w:val="3"/>
          <w:numId w:val="35"/>
        </w:numPr>
        <w:spacing w:before="0" w:beforeLines="0" w:after="0" w:afterLines="0" w:line="240" w:lineRule="auto"/>
        <w:jc w:val="both"/>
        <w:outlineLvl w:val="2"/>
        <w:rPr>
          <w:rFonts w:hint="eastAsia" w:ascii="宋体" w:hAnsi="宋体" w:eastAsia="宋体" w:cs="宋体"/>
        </w:rPr>
      </w:pPr>
      <w:bookmarkStart w:id="785" w:name="_Toc204448650"/>
      <w:bookmarkStart w:id="786" w:name="_Toc196412006"/>
      <w:r>
        <w:rPr>
          <w:rFonts w:hint="eastAsia" w:ascii="宋体" w:hAnsi="宋体" w:eastAsia="宋体" w:cs="宋体"/>
          <w:color w:val="000000"/>
        </w:rPr>
        <w:t>判定规则：设备安装和调试检验如有不合格项，允许修正后复检，复检仍不合格则判定该每套成套设备不合格。其中安全性能不可复检</w:t>
      </w:r>
      <w:r>
        <w:rPr>
          <w:rFonts w:hint="eastAsia" w:ascii="宋体" w:hAnsi="宋体" w:eastAsia="宋体" w:cs="宋体"/>
        </w:rPr>
        <w:t>。</w:t>
      </w:r>
      <w:bookmarkEnd w:id="785"/>
      <w:bookmarkEnd w:id="786"/>
    </w:p>
    <w:p w14:paraId="53F53013">
      <w:pPr>
        <w:pStyle w:val="268"/>
        <w:numPr>
          <w:ilvl w:val="2"/>
          <w:numId w:val="35"/>
        </w:numPr>
        <w:spacing w:before="120" w:beforeLines="50" w:after="120" w:afterLines="50" w:line="240" w:lineRule="auto"/>
        <w:jc w:val="both"/>
        <w:outlineLvl w:val="1"/>
        <w:rPr>
          <w:rFonts w:hint="eastAsia"/>
        </w:rPr>
      </w:pPr>
      <w:bookmarkStart w:id="787" w:name="_Toc3196"/>
      <w:bookmarkStart w:id="788" w:name="_Toc17333"/>
      <w:bookmarkStart w:id="789" w:name="_Toc196412007"/>
      <w:bookmarkStart w:id="790" w:name="_Toc2641"/>
      <w:bookmarkStart w:id="791" w:name="_Toc15511"/>
      <w:bookmarkStart w:id="792" w:name="_Toc189"/>
      <w:r>
        <w:rPr>
          <w:rFonts w:hint="eastAsia"/>
        </w:rPr>
        <w:t>型式检验</w:t>
      </w:r>
      <w:bookmarkEnd w:id="787"/>
      <w:bookmarkEnd w:id="788"/>
      <w:bookmarkEnd w:id="789"/>
      <w:bookmarkEnd w:id="790"/>
      <w:bookmarkEnd w:id="791"/>
      <w:bookmarkEnd w:id="792"/>
    </w:p>
    <w:bookmarkEnd w:id="781"/>
    <w:p w14:paraId="05B5218E">
      <w:pPr>
        <w:pStyle w:val="268"/>
        <w:numPr>
          <w:ilvl w:val="3"/>
          <w:numId w:val="35"/>
        </w:numPr>
        <w:spacing w:before="0" w:beforeLines="0" w:after="0" w:afterLines="0" w:line="240" w:lineRule="auto"/>
        <w:jc w:val="both"/>
        <w:outlineLvl w:val="2"/>
        <w:rPr>
          <w:rFonts w:hint="eastAsia" w:ascii="宋体" w:hAnsi="宋体" w:eastAsia="宋体"/>
          <w:szCs w:val="24"/>
        </w:rPr>
      </w:pPr>
      <w:bookmarkStart w:id="793" w:name="_Toc204448652"/>
      <w:r>
        <w:rPr>
          <w:rFonts w:hint="eastAsia" w:ascii="宋体" w:hAnsi="宋体" w:eastAsia="宋体"/>
          <w:szCs w:val="24"/>
        </w:rPr>
        <w:t>有下列情况之一时，应对设备进行型式检验：</w:t>
      </w:r>
      <w:bookmarkEnd w:id="793"/>
    </w:p>
    <w:p w14:paraId="656D3C69">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——新设备或老设备转厂生产时；</w:t>
      </w:r>
    </w:p>
    <w:p w14:paraId="739CD42C">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——正式生产后，结构、材料、工艺等有较大改变，可能影响设备性能时；</w:t>
      </w:r>
    </w:p>
    <w:p w14:paraId="657FCC44">
      <w:pPr>
        <w:pStyle w:val="65"/>
        <w:ind w:left="840" w:leftChars="200" w:hanging="420" w:hangingChars="200"/>
        <w:rPr>
          <w:rFonts w:hint="eastAsia" w:hAnsi="宋体" w:cs="宋体"/>
        </w:rPr>
      </w:pPr>
      <w:r>
        <w:rPr>
          <w:rFonts w:hint="eastAsia" w:hAnsi="宋体" w:cs="宋体"/>
          <w:color w:val="000000"/>
        </w:rPr>
        <w:t>——</w:t>
      </w:r>
      <w:r>
        <w:rPr>
          <w:rFonts w:hint="eastAsia" w:hAnsi="宋体" w:cs="宋体"/>
        </w:rPr>
        <w:t>正常生产条件下，定期或周期性抽查检验时；</w:t>
      </w:r>
    </w:p>
    <w:p w14:paraId="41C327A1">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宋体" w:hAnsi="宋体" w:cs="宋体"/>
        </w:rPr>
        <w:t>停产1年后，恢复生产时</w:t>
      </w:r>
      <w:r>
        <w:rPr>
          <w:rFonts w:hint="eastAsia" w:ascii="宋体" w:hAnsi="宋体" w:cs="宋体"/>
          <w:color w:val="000000"/>
        </w:rPr>
        <w:t>；</w:t>
      </w:r>
    </w:p>
    <w:p w14:paraId="72B21F14">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——出厂检验结果与上次型式检验有较大差异时；</w:t>
      </w:r>
    </w:p>
    <w:p w14:paraId="1481F141">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——国家</w:t>
      </w:r>
      <w:r>
        <w:rPr>
          <w:rFonts w:hint="eastAsia" w:ascii="宋体" w:hAnsi="宋体" w:cs="宋体"/>
          <w:color w:val="000000"/>
        </w:rPr>
        <w:t>有关主管部门</w:t>
      </w:r>
      <w:r>
        <w:rPr>
          <w:rFonts w:hint="eastAsia" w:ascii="宋体" w:hAnsi="宋体" w:cs="宋体"/>
          <w:color w:val="000000" w:themeColor="text1"/>
          <w14:textFill>
            <w14:solidFill>
              <w14:schemeClr w14:val="tx1"/>
            </w14:solidFill>
          </w14:textFill>
        </w:rPr>
        <w:t>提出进行型式检验的要求；</w:t>
      </w:r>
    </w:p>
    <w:p w14:paraId="35756D29">
      <w:pPr>
        <w:pStyle w:val="65"/>
        <w:ind w:left="840" w:leftChars="200" w:hanging="420" w:hangingChars="200"/>
        <w:rPr>
          <w:rFonts w:hint="eastAsia" w:hAnsi="宋体" w:cs="宋体"/>
          <w:color w:val="000000"/>
        </w:rPr>
      </w:pPr>
      <w:r>
        <w:rPr>
          <w:rFonts w:hint="eastAsia" w:hAnsi="宋体" w:cs="宋体"/>
          <w:color w:val="000000"/>
        </w:rPr>
        <w:t>——使用方有重大问题反馈时。</w:t>
      </w:r>
    </w:p>
    <w:p w14:paraId="4778FDE5">
      <w:pPr>
        <w:pStyle w:val="268"/>
        <w:numPr>
          <w:ilvl w:val="3"/>
          <w:numId w:val="35"/>
        </w:numPr>
        <w:spacing w:before="0" w:beforeLines="0" w:after="0" w:afterLines="0" w:line="240" w:lineRule="auto"/>
        <w:jc w:val="both"/>
        <w:outlineLvl w:val="2"/>
        <w:rPr>
          <w:rFonts w:hint="eastAsia" w:ascii="宋体" w:hAnsi="宋体" w:eastAsia="宋体"/>
          <w:szCs w:val="24"/>
        </w:rPr>
      </w:pPr>
      <w:bookmarkStart w:id="794" w:name="_Toc204448653"/>
      <w:r>
        <w:rPr>
          <w:rFonts w:hint="eastAsia" w:ascii="宋体" w:hAnsi="宋体" w:eastAsia="宋体"/>
          <w:szCs w:val="24"/>
        </w:rPr>
        <w:t>抽样及判定规则：从出厂检验合格的设备中随机抽样，每次抽样1台。按表2进行型式检验，全部项目合格则判型式检验合格；如有不合格项，应加倍抽样，对不合格项进行复检，复检再不合格，则型式检验不合格。其中安全性能不允许复检。</w:t>
      </w:r>
      <w:bookmarkEnd w:id="794"/>
    </w:p>
    <w:p w14:paraId="55B36747">
      <w:pPr>
        <w:pStyle w:val="268"/>
        <w:numPr>
          <w:ilvl w:val="1"/>
          <w:numId w:val="35"/>
        </w:numPr>
        <w:adjustRightInd w:val="0"/>
        <w:snapToGrid w:val="0"/>
        <w:spacing w:before="240" w:after="240" w:line="240" w:lineRule="auto"/>
        <w:jc w:val="both"/>
        <w:rPr>
          <w:rFonts w:hint="eastAsia" w:hAnsi="黑体" w:cs="宋体"/>
          <w:kern w:val="0"/>
        </w:rPr>
      </w:pPr>
      <w:bookmarkStart w:id="795" w:name="_Toc103873522"/>
      <w:bookmarkEnd w:id="795"/>
      <w:bookmarkStart w:id="796" w:name="_Toc103786117"/>
      <w:bookmarkEnd w:id="796"/>
      <w:bookmarkStart w:id="797" w:name="_Toc103873521"/>
      <w:bookmarkEnd w:id="797"/>
      <w:bookmarkStart w:id="798" w:name="_Toc103786118"/>
      <w:bookmarkEnd w:id="798"/>
      <w:bookmarkStart w:id="799" w:name="_Toc103786116"/>
      <w:bookmarkEnd w:id="799"/>
      <w:bookmarkStart w:id="800" w:name="_Toc103873523"/>
      <w:bookmarkEnd w:id="800"/>
      <w:bookmarkStart w:id="801" w:name="_Toc76902184"/>
      <w:bookmarkStart w:id="802" w:name="_Toc31697"/>
      <w:bookmarkStart w:id="803" w:name="_Toc76532492"/>
      <w:bookmarkStart w:id="804" w:name="_Toc25882"/>
      <w:bookmarkStart w:id="805" w:name="_Toc85527794"/>
      <w:bookmarkStart w:id="806" w:name="_Toc1699"/>
      <w:bookmarkStart w:id="807" w:name="_Toc76532371"/>
      <w:bookmarkStart w:id="808" w:name="_Toc196412008"/>
      <w:bookmarkStart w:id="809" w:name="_Toc25400"/>
      <w:bookmarkStart w:id="810" w:name="_Toc85527731"/>
      <w:bookmarkStart w:id="811" w:name="_Toc94260001"/>
      <w:bookmarkStart w:id="812" w:name="_Toc77186026"/>
      <w:bookmarkStart w:id="813" w:name="_Toc77186089"/>
      <w:bookmarkStart w:id="814" w:name="_Toc29452"/>
      <w:bookmarkStart w:id="815" w:name="_Hlk107127814"/>
      <w:r>
        <w:rPr>
          <w:rFonts w:hint="eastAsia" w:hAnsi="黑体" w:cs="宋体"/>
          <w:kern w:val="0"/>
        </w:rPr>
        <w:t>标志、包装、运输和贮存</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14:paraId="6FE02979">
      <w:pPr>
        <w:pStyle w:val="268"/>
        <w:numPr>
          <w:ilvl w:val="2"/>
          <w:numId w:val="35"/>
        </w:numPr>
        <w:spacing w:before="120" w:beforeLines="50" w:after="120" w:afterLines="50" w:line="240" w:lineRule="auto"/>
        <w:jc w:val="both"/>
        <w:outlineLvl w:val="1"/>
        <w:rPr>
          <w:rFonts w:hint="eastAsia"/>
        </w:rPr>
      </w:pPr>
      <w:bookmarkStart w:id="816" w:name="_Toc28600"/>
      <w:bookmarkStart w:id="817" w:name="_Toc11674"/>
      <w:bookmarkStart w:id="818" w:name="_Toc196412009"/>
      <w:bookmarkStart w:id="819" w:name="_Toc13832"/>
      <w:bookmarkStart w:id="820" w:name="_Toc77186090"/>
      <w:bookmarkStart w:id="821" w:name="_Toc94260002"/>
      <w:bookmarkStart w:id="822" w:name="_Toc85527795"/>
      <w:bookmarkStart w:id="823" w:name="_Toc22237"/>
      <w:bookmarkStart w:id="824" w:name="_Toc30134"/>
      <w:r>
        <w:rPr>
          <w:rFonts w:hint="eastAsia"/>
        </w:rPr>
        <w:t>标志</w:t>
      </w:r>
      <w:bookmarkEnd w:id="816"/>
      <w:bookmarkEnd w:id="817"/>
      <w:bookmarkEnd w:id="818"/>
      <w:bookmarkEnd w:id="819"/>
      <w:bookmarkEnd w:id="820"/>
      <w:bookmarkEnd w:id="821"/>
      <w:bookmarkEnd w:id="822"/>
      <w:bookmarkEnd w:id="823"/>
      <w:bookmarkEnd w:id="824"/>
    </w:p>
    <w:bookmarkEnd w:id="815"/>
    <w:p w14:paraId="7420DE72">
      <w:pPr>
        <w:pStyle w:val="268"/>
        <w:numPr>
          <w:ilvl w:val="3"/>
          <w:numId w:val="35"/>
        </w:numPr>
        <w:spacing w:before="0" w:beforeLines="0" w:after="0" w:afterLines="0" w:line="240" w:lineRule="auto"/>
        <w:jc w:val="both"/>
        <w:outlineLvl w:val="2"/>
        <w:rPr>
          <w:rFonts w:hint="eastAsia" w:ascii="宋体" w:hAnsi="宋体" w:eastAsia="宋体" w:cs="宋体"/>
          <w:color w:val="000000" w:themeColor="text1"/>
          <w14:textFill>
            <w14:solidFill>
              <w14:schemeClr w14:val="tx1"/>
            </w14:solidFill>
          </w14:textFill>
        </w:rPr>
      </w:pPr>
      <w:bookmarkStart w:id="825" w:name="_Toc196300392"/>
      <w:bookmarkStart w:id="826" w:name="_Toc204448656"/>
      <w:bookmarkStart w:id="827" w:name="_Toc196412010"/>
      <w:r>
        <w:rPr>
          <w:rFonts w:hint="eastAsia" w:ascii="宋体" w:hAnsi="宋体" w:eastAsia="宋体" w:cs="宋体"/>
          <w:color w:val="000000"/>
        </w:rPr>
        <w:t>标牌应固定在设备的明显位置，标牌的技术要求应符合GB/T 13306的规定。除安全警示标志外，标牌还应包括但不限于下列内容：</w:t>
      </w:r>
      <w:bookmarkEnd w:id="825"/>
      <w:bookmarkEnd w:id="826"/>
      <w:bookmarkEnd w:id="827"/>
    </w:p>
    <w:p w14:paraId="3209944C">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——制造企业名称（商标）；</w:t>
      </w:r>
    </w:p>
    <w:p w14:paraId="6CF4B41E">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——设备名称、型号；</w:t>
      </w:r>
    </w:p>
    <w:p w14:paraId="48114DF0">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——制造日期、出厂编号；</w:t>
      </w:r>
    </w:p>
    <w:p w14:paraId="5D2D1F92">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——主要技术参数；</w:t>
      </w:r>
    </w:p>
    <w:p w14:paraId="2DE7F042">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——设备执行标准编号。</w:t>
      </w:r>
    </w:p>
    <w:p w14:paraId="3F003568">
      <w:pPr>
        <w:pStyle w:val="268"/>
        <w:numPr>
          <w:ilvl w:val="3"/>
          <w:numId w:val="35"/>
        </w:numPr>
        <w:spacing w:before="0" w:beforeLines="0" w:after="0" w:afterLines="0" w:line="240" w:lineRule="auto"/>
        <w:jc w:val="both"/>
        <w:outlineLvl w:val="2"/>
        <w:rPr>
          <w:rFonts w:hint="eastAsia" w:ascii="宋体" w:hAnsi="宋体" w:eastAsia="宋体" w:cs="宋体"/>
        </w:rPr>
      </w:pPr>
      <w:bookmarkStart w:id="828" w:name="_Toc204448657"/>
      <w:bookmarkStart w:id="829" w:name="_Toc196412011"/>
      <w:r>
        <w:rPr>
          <w:rFonts w:hint="eastAsia" w:ascii="宋体" w:hAnsi="宋体" w:eastAsia="宋体" w:cs="宋体"/>
          <w:color w:val="000000"/>
        </w:rPr>
        <w:t>成套设备应有清晰的安全警示标志，安全警示标志应符合GB 2894的规定。</w:t>
      </w:r>
      <w:bookmarkEnd w:id="828"/>
      <w:bookmarkEnd w:id="829"/>
    </w:p>
    <w:p w14:paraId="162D4A5D">
      <w:pPr>
        <w:pStyle w:val="268"/>
        <w:numPr>
          <w:ilvl w:val="2"/>
          <w:numId w:val="35"/>
        </w:numPr>
        <w:spacing w:before="120" w:beforeLines="50" w:after="120" w:afterLines="50" w:line="240" w:lineRule="auto"/>
        <w:jc w:val="both"/>
        <w:outlineLvl w:val="1"/>
        <w:rPr>
          <w:rFonts w:hint="eastAsia"/>
        </w:rPr>
      </w:pPr>
      <w:bookmarkStart w:id="830" w:name="_Toc339"/>
      <w:bookmarkStart w:id="831" w:name="_Toc94260003"/>
      <w:bookmarkStart w:id="832" w:name="_Toc11223"/>
      <w:bookmarkStart w:id="833" w:name="_Toc77186091"/>
      <w:bookmarkStart w:id="834" w:name="_Toc27419"/>
      <w:bookmarkStart w:id="835" w:name="_Toc12923"/>
      <w:bookmarkStart w:id="836" w:name="_Toc85527796"/>
      <w:bookmarkStart w:id="837" w:name="_Toc196412018"/>
      <w:bookmarkStart w:id="838" w:name="_Toc3236"/>
      <w:bookmarkStart w:id="839" w:name="_Hlk107127850"/>
      <w:r>
        <w:rPr>
          <w:rFonts w:hint="eastAsia"/>
        </w:rPr>
        <w:t>包装</w:t>
      </w:r>
      <w:bookmarkEnd w:id="830"/>
      <w:bookmarkEnd w:id="831"/>
      <w:bookmarkEnd w:id="832"/>
      <w:bookmarkEnd w:id="833"/>
      <w:bookmarkEnd w:id="834"/>
      <w:bookmarkEnd w:id="835"/>
      <w:bookmarkEnd w:id="836"/>
      <w:bookmarkEnd w:id="837"/>
      <w:bookmarkEnd w:id="838"/>
    </w:p>
    <w:bookmarkEnd w:id="839"/>
    <w:p w14:paraId="4E6F7E3A">
      <w:pPr>
        <w:pStyle w:val="268"/>
        <w:numPr>
          <w:ilvl w:val="3"/>
          <w:numId w:val="35"/>
        </w:numPr>
        <w:spacing w:before="0" w:beforeLines="0" w:after="0" w:afterLines="0" w:line="240" w:lineRule="auto"/>
        <w:jc w:val="both"/>
        <w:outlineLvl w:val="2"/>
        <w:rPr>
          <w:rFonts w:hint="eastAsia" w:ascii="宋体" w:hAnsi="宋体" w:eastAsia="宋体" w:cs="宋体"/>
        </w:rPr>
      </w:pPr>
      <w:bookmarkStart w:id="840" w:name="_Toc204448659"/>
      <w:r>
        <w:rPr>
          <w:rFonts w:hint="eastAsia" w:ascii="宋体" w:hAnsi="宋体" w:eastAsia="宋体" w:cs="宋体"/>
        </w:rPr>
        <w:t>成套设备的包装应符合GB/T 13384和SB/T 229的规定。</w:t>
      </w:r>
      <w:bookmarkEnd w:id="840"/>
    </w:p>
    <w:p w14:paraId="7F125ECD">
      <w:pPr>
        <w:pStyle w:val="268"/>
        <w:numPr>
          <w:ilvl w:val="3"/>
          <w:numId w:val="35"/>
        </w:numPr>
        <w:spacing w:before="0" w:beforeLines="0" w:after="0" w:afterLines="0" w:line="240" w:lineRule="auto"/>
        <w:jc w:val="both"/>
        <w:outlineLvl w:val="2"/>
        <w:rPr>
          <w:rFonts w:hint="eastAsia" w:ascii="宋体" w:hAnsi="宋体" w:eastAsia="宋体" w:cs="宋体"/>
        </w:rPr>
      </w:pPr>
      <w:bookmarkStart w:id="841" w:name="_Toc204448660"/>
      <w:r>
        <w:rPr>
          <w:rFonts w:hint="eastAsia" w:ascii="宋体" w:hAnsi="宋体" w:eastAsia="宋体" w:cs="宋体"/>
        </w:rPr>
        <w:t>成套设备包装箱应牢固可靠，适应运输装卸的要求。</w:t>
      </w:r>
      <w:bookmarkEnd w:id="841"/>
    </w:p>
    <w:p w14:paraId="358FCF9E">
      <w:pPr>
        <w:pStyle w:val="268"/>
        <w:numPr>
          <w:ilvl w:val="3"/>
          <w:numId w:val="35"/>
        </w:numPr>
        <w:spacing w:before="0" w:beforeLines="0" w:after="0" w:afterLines="0" w:line="240" w:lineRule="auto"/>
        <w:jc w:val="both"/>
        <w:outlineLvl w:val="2"/>
        <w:rPr>
          <w:rFonts w:hint="eastAsia" w:ascii="宋体" w:hAnsi="宋体" w:eastAsia="宋体" w:cs="宋体"/>
        </w:rPr>
      </w:pPr>
      <w:bookmarkStart w:id="842" w:name="_Toc204448661"/>
      <w:r>
        <w:rPr>
          <w:rFonts w:hint="eastAsia" w:ascii="宋体" w:hAnsi="宋体" w:eastAsia="宋体" w:cs="宋体"/>
        </w:rPr>
        <w:t>成套设备随机专用工具及易损件应单独包装，主要零部件应罩上塑料薄膜后装入包装箱内，不得装入包装箱内的零部件应做好包装防护，主件、附件均要适合运输装卸的要求。</w:t>
      </w:r>
      <w:bookmarkEnd w:id="842"/>
    </w:p>
    <w:p w14:paraId="676AF91C">
      <w:pPr>
        <w:pStyle w:val="268"/>
        <w:numPr>
          <w:ilvl w:val="3"/>
          <w:numId w:val="35"/>
        </w:numPr>
        <w:spacing w:before="0" w:beforeLines="0" w:after="0" w:afterLines="0" w:line="240" w:lineRule="auto"/>
        <w:jc w:val="both"/>
        <w:outlineLvl w:val="2"/>
        <w:rPr>
          <w:rFonts w:hint="eastAsia" w:ascii="宋体" w:hAnsi="宋体" w:eastAsia="宋体" w:cs="宋体"/>
        </w:rPr>
      </w:pPr>
      <w:bookmarkStart w:id="843" w:name="_Toc204448662"/>
      <w:r>
        <w:rPr>
          <w:rFonts w:hint="eastAsia" w:ascii="宋体" w:hAnsi="宋体" w:eastAsia="宋体" w:cs="宋体"/>
          <w:color w:val="000000"/>
        </w:rPr>
        <w:t>成套设备包装内应有装箱单、合格证、使用说明书、必要的随机备件及工具。</w:t>
      </w:r>
      <w:bookmarkEnd w:id="843"/>
    </w:p>
    <w:p w14:paraId="55BBC54D">
      <w:pPr>
        <w:pStyle w:val="268"/>
        <w:numPr>
          <w:ilvl w:val="3"/>
          <w:numId w:val="35"/>
        </w:numPr>
        <w:spacing w:before="0" w:beforeLines="0" w:after="0" w:afterLines="0" w:line="240" w:lineRule="auto"/>
        <w:jc w:val="both"/>
        <w:outlineLvl w:val="2"/>
        <w:rPr>
          <w:rFonts w:hint="eastAsia" w:ascii="宋体" w:hAnsi="宋体" w:eastAsia="宋体" w:cs="宋体"/>
        </w:rPr>
      </w:pPr>
      <w:bookmarkStart w:id="844" w:name="_Toc204448663"/>
      <w:r>
        <w:rPr>
          <w:rFonts w:hint="eastAsia" w:ascii="宋体" w:hAnsi="宋体" w:eastAsia="宋体" w:cs="宋体"/>
        </w:rPr>
        <w:t>成套设备外包装上应标注有“小心轻放”“向上”“防潮”等储运标志，应符合GB/T 191的规定。</w:t>
      </w:r>
      <w:bookmarkEnd w:id="844"/>
    </w:p>
    <w:p w14:paraId="5AFD1A9B">
      <w:pPr>
        <w:pStyle w:val="268"/>
        <w:numPr>
          <w:ilvl w:val="3"/>
          <w:numId w:val="35"/>
        </w:numPr>
        <w:spacing w:before="0" w:beforeLines="0" w:after="0" w:afterLines="0" w:line="240" w:lineRule="auto"/>
        <w:jc w:val="both"/>
        <w:outlineLvl w:val="2"/>
        <w:rPr>
          <w:rFonts w:hint="eastAsia" w:ascii="宋体" w:hAnsi="宋体" w:eastAsia="宋体" w:cs="宋体"/>
        </w:rPr>
      </w:pPr>
      <w:bookmarkStart w:id="845" w:name="OLE_LINK1"/>
      <w:bookmarkStart w:id="846" w:name="OLE_LINK2"/>
      <w:bookmarkStart w:id="847" w:name="_Toc204448664"/>
      <w:r>
        <w:rPr>
          <w:rFonts w:hint="eastAsia" w:ascii="宋体" w:hAnsi="宋体" w:eastAsia="宋体" w:cs="宋体"/>
        </w:rPr>
        <w:t>成套设备</w:t>
      </w:r>
      <w:bookmarkEnd w:id="845"/>
      <w:bookmarkEnd w:id="846"/>
      <w:r>
        <w:rPr>
          <w:rFonts w:hint="eastAsia" w:ascii="宋体" w:hAnsi="宋体" w:eastAsia="宋体" w:cs="宋体"/>
        </w:rPr>
        <w:t>包装应有可靠的防湿防潮措施。</w:t>
      </w:r>
      <w:bookmarkEnd w:id="847"/>
    </w:p>
    <w:p w14:paraId="31822E3F">
      <w:pPr>
        <w:pStyle w:val="268"/>
        <w:numPr>
          <w:ilvl w:val="2"/>
          <w:numId w:val="35"/>
        </w:numPr>
        <w:spacing w:before="120" w:beforeLines="50" w:after="120" w:afterLines="50" w:line="240" w:lineRule="auto"/>
        <w:jc w:val="both"/>
        <w:outlineLvl w:val="1"/>
        <w:rPr>
          <w:rFonts w:hint="eastAsia"/>
        </w:rPr>
      </w:pPr>
      <w:bookmarkStart w:id="848" w:name="_Toc32136"/>
      <w:bookmarkStart w:id="849" w:name="_Toc30251"/>
      <w:bookmarkStart w:id="850" w:name="_Toc15857"/>
      <w:bookmarkStart w:id="851" w:name="_Toc77186092"/>
      <w:bookmarkStart w:id="852" w:name="_Toc85527797"/>
      <w:bookmarkStart w:id="853" w:name="_Toc28715"/>
      <w:bookmarkStart w:id="854" w:name="_Toc94260004"/>
      <w:bookmarkStart w:id="855" w:name="_Toc196412019"/>
      <w:bookmarkStart w:id="856" w:name="_Toc10250"/>
      <w:bookmarkStart w:id="857" w:name="_Hlk107127876"/>
      <w:r>
        <w:rPr>
          <w:rFonts w:hint="eastAsia"/>
        </w:rPr>
        <w:t>运输</w:t>
      </w:r>
      <w:bookmarkEnd w:id="848"/>
      <w:bookmarkEnd w:id="849"/>
      <w:bookmarkEnd w:id="850"/>
      <w:bookmarkEnd w:id="851"/>
      <w:bookmarkEnd w:id="852"/>
      <w:bookmarkEnd w:id="853"/>
      <w:bookmarkEnd w:id="854"/>
      <w:bookmarkEnd w:id="855"/>
      <w:bookmarkEnd w:id="856"/>
    </w:p>
    <w:bookmarkEnd w:id="857"/>
    <w:p w14:paraId="5DDF4D78">
      <w:pPr>
        <w:pStyle w:val="268"/>
        <w:numPr>
          <w:ilvl w:val="3"/>
          <w:numId w:val="35"/>
        </w:numPr>
        <w:spacing w:before="0" w:beforeLines="0" w:after="0" w:afterLines="0" w:line="240" w:lineRule="auto"/>
        <w:jc w:val="both"/>
        <w:outlineLvl w:val="2"/>
        <w:rPr>
          <w:rFonts w:hint="eastAsia" w:ascii="宋体" w:hAnsi="宋体" w:eastAsia="宋体" w:cs="宋体"/>
        </w:rPr>
      </w:pPr>
      <w:r>
        <w:rPr>
          <w:rFonts w:hint="eastAsia" w:ascii="宋体" w:hAnsi="宋体" w:eastAsia="宋体" w:cs="宋体"/>
        </w:rPr>
        <w:t>成套设备应按包装箱上的指定朝向置于运输工具上。</w:t>
      </w:r>
    </w:p>
    <w:p w14:paraId="4902E004">
      <w:pPr>
        <w:pStyle w:val="268"/>
        <w:numPr>
          <w:ilvl w:val="3"/>
          <w:numId w:val="35"/>
        </w:numPr>
        <w:spacing w:before="0" w:beforeLines="0" w:after="0" w:afterLines="0" w:line="240" w:lineRule="auto"/>
        <w:jc w:val="both"/>
        <w:outlineLvl w:val="2"/>
        <w:rPr>
          <w:rFonts w:hint="eastAsia" w:ascii="宋体" w:hAnsi="宋体" w:eastAsia="宋体" w:cs="宋体"/>
        </w:rPr>
      </w:pPr>
      <w:r>
        <w:rPr>
          <w:rFonts w:hint="eastAsia" w:ascii="宋体" w:hAnsi="宋体" w:eastAsia="宋体" w:cs="宋体"/>
        </w:rPr>
        <w:t>各设备在运输过程中，应与运载车辆固定牢固，不应产生滑动、碰撞。</w:t>
      </w:r>
    </w:p>
    <w:p w14:paraId="3CF7C566">
      <w:pPr>
        <w:pStyle w:val="268"/>
        <w:numPr>
          <w:ilvl w:val="3"/>
          <w:numId w:val="35"/>
        </w:numPr>
        <w:spacing w:before="0" w:beforeLines="0" w:after="0" w:afterLines="0" w:line="240" w:lineRule="auto"/>
        <w:jc w:val="both"/>
        <w:outlineLvl w:val="2"/>
        <w:rPr>
          <w:rFonts w:hint="eastAsia" w:ascii="宋体" w:hAnsi="宋体" w:eastAsia="宋体" w:cs="宋体"/>
        </w:rPr>
      </w:pPr>
      <w:r>
        <w:rPr>
          <w:rFonts w:hint="eastAsia" w:ascii="宋体" w:hAnsi="宋体" w:eastAsia="宋体" w:cs="宋体"/>
        </w:rPr>
        <w:t>吊装工具不应与各设备表面接触刮擦，应小心轻放，避免倾翻。</w:t>
      </w:r>
    </w:p>
    <w:p w14:paraId="618B5635">
      <w:pPr>
        <w:pStyle w:val="268"/>
        <w:numPr>
          <w:ilvl w:val="3"/>
          <w:numId w:val="35"/>
        </w:numPr>
        <w:spacing w:before="0" w:beforeLines="0" w:after="0" w:afterLines="0" w:line="240" w:lineRule="auto"/>
        <w:jc w:val="both"/>
        <w:outlineLvl w:val="2"/>
        <w:rPr>
          <w:rFonts w:hint="eastAsia" w:ascii="宋体" w:hAnsi="宋体" w:eastAsia="宋体" w:cs="宋体"/>
        </w:rPr>
      </w:pPr>
      <w:r>
        <w:rPr>
          <w:rFonts w:hint="eastAsia" w:ascii="宋体" w:hAnsi="宋体" w:eastAsia="宋体" w:cs="宋体"/>
        </w:rPr>
        <w:t>各设备搬运时严禁碰撞，不应损坏设备。</w:t>
      </w:r>
    </w:p>
    <w:p w14:paraId="091AAC50">
      <w:pPr>
        <w:pStyle w:val="268"/>
        <w:numPr>
          <w:ilvl w:val="3"/>
          <w:numId w:val="35"/>
        </w:numPr>
        <w:spacing w:before="0" w:beforeLines="0" w:after="0" w:afterLines="0" w:line="240" w:lineRule="auto"/>
        <w:jc w:val="both"/>
        <w:outlineLvl w:val="2"/>
        <w:rPr>
          <w:rFonts w:hint="eastAsia" w:ascii="宋体" w:hAnsi="宋体" w:eastAsia="宋体" w:cs="宋体"/>
        </w:rPr>
      </w:pPr>
      <w:r>
        <w:rPr>
          <w:rFonts w:hint="eastAsia" w:ascii="宋体" w:hAnsi="宋体" w:eastAsia="宋体" w:cs="宋体"/>
          <w:color w:val="000000"/>
        </w:rPr>
        <w:t>成套</w:t>
      </w:r>
      <w:r>
        <w:rPr>
          <w:rFonts w:hint="eastAsia" w:ascii="宋体" w:hAnsi="宋体" w:eastAsia="宋体" w:cs="宋体"/>
          <w:color w:val="000000"/>
          <w:szCs w:val="20"/>
        </w:rPr>
        <w:t>设备运输时应避免雨淋。</w:t>
      </w:r>
    </w:p>
    <w:p w14:paraId="4569B452">
      <w:pPr>
        <w:pStyle w:val="268"/>
        <w:numPr>
          <w:ilvl w:val="2"/>
          <w:numId w:val="35"/>
        </w:numPr>
        <w:spacing w:before="120" w:beforeLines="50" w:after="120" w:afterLines="50" w:line="240" w:lineRule="auto"/>
        <w:jc w:val="both"/>
        <w:outlineLvl w:val="1"/>
        <w:rPr>
          <w:rFonts w:hint="eastAsia" w:ascii="Times New Roman"/>
        </w:rPr>
      </w:pPr>
      <w:bookmarkStart w:id="858" w:name="_Toc94260005"/>
      <w:bookmarkStart w:id="859" w:name="_Toc27586"/>
      <w:bookmarkStart w:id="860" w:name="_Toc30960"/>
      <w:bookmarkStart w:id="861" w:name="_Toc77186093"/>
      <w:bookmarkStart w:id="862" w:name="_Toc196412020"/>
      <w:bookmarkStart w:id="863" w:name="_Toc24708"/>
      <w:bookmarkStart w:id="864" w:name="_Toc19885"/>
      <w:bookmarkStart w:id="865" w:name="_Toc85527798"/>
      <w:bookmarkStart w:id="866" w:name="_Toc15992"/>
      <w:r>
        <w:rPr>
          <w:rFonts w:hint="eastAsia"/>
        </w:rPr>
        <w:t>贮存</w:t>
      </w:r>
      <w:bookmarkEnd w:id="858"/>
      <w:bookmarkEnd w:id="859"/>
      <w:bookmarkEnd w:id="860"/>
      <w:bookmarkEnd w:id="861"/>
      <w:bookmarkEnd w:id="862"/>
      <w:bookmarkEnd w:id="863"/>
      <w:bookmarkEnd w:id="864"/>
      <w:bookmarkEnd w:id="865"/>
      <w:bookmarkEnd w:id="866"/>
    </w:p>
    <w:p w14:paraId="69BE8083">
      <w:pPr>
        <w:pStyle w:val="268"/>
        <w:numPr>
          <w:ilvl w:val="3"/>
          <w:numId w:val="35"/>
        </w:numPr>
        <w:spacing w:before="0" w:beforeLines="0" w:after="0" w:afterLines="0" w:line="240" w:lineRule="auto"/>
        <w:jc w:val="both"/>
        <w:outlineLvl w:val="2"/>
        <w:rPr>
          <w:rFonts w:hint="eastAsia" w:ascii="宋体" w:hAnsi="宋体" w:eastAsia="宋体" w:cs="宋体"/>
          <w:color w:val="000000"/>
        </w:rPr>
      </w:pPr>
      <w:bookmarkStart w:id="867" w:name="_Toc196300402"/>
      <w:bookmarkStart w:id="868" w:name="_Toc196412021"/>
      <w:r>
        <w:rPr>
          <w:rFonts w:hint="eastAsia" w:ascii="宋体" w:hAnsi="宋体" w:eastAsia="宋体" w:cs="宋体"/>
          <w:color w:val="000000"/>
        </w:rPr>
        <w:t>成套设备应储存在通风、清洁、阴凉、干燥的场所，远离热源和污染源，严禁与有害物品（易燃、易爆、腐蚀性等）混放。</w:t>
      </w:r>
      <w:bookmarkEnd w:id="867"/>
      <w:bookmarkEnd w:id="868"/>
    </w:p>
    <w:p w14:paraId="6FE6B286">
      <w:pPr>
        <w:pStyle w:val="268"/>
        <w:numPr>
          <w:ilvl w:val="3"/>
          <w:numId w:val="35"/>
        </w:numPr>
        <w:spacing w:before="0" w:beforeLines="0" w:after="0" w:afterLines="0" w:line="240" w:lineRule="auto"/>
        <w:jc w:val="both"/>
        <w:outlineLvl w:val="2"/>
        <w:rPr>
          <w:rFonts w:hint="eastAsia" w:ascii="宋体" w:hAnsi="宋体" w:eastAsia="宋体" w:cs="宋体"/>
        </w:rPr>
      </w:pPr>
      <w:bookmarkStart w:id="869" w:name="_Toc196412022"/>
      <w:r>
        <w:rPr>
          <w:rFonts w:hint="eastAsia" w:ascii="宋体" w:hAnsi="宋体" w:eastAsia="宋体" w:cs="宋体"/>
          <w:color w:val="000000"/>
        </w:rPr>
        <w:t>正常储运条件下，成套设备自出厂之日起12个月内，不应因包装储存不当引起锈蚀、霉损等。</w:t>
      </w:r>
      <w:bookmarkEnd w:id="869"/>
    </w:p>
    <w:p w14:paraId="0997209A">
      <w:pPr>
        <w:adjustRightInd/>
        <w:spacing w:line="360" w:lineRule="exact"/>
        <w:outlineLvl w:val="3"/>
        <w:rPr>
          <w:rFonts w:ascii="Times New Roman" w:hAnsi="Times New Roman"/>
        </w:rPr>
      </w:pPr>
    </w:p>
    <w:bookmarkEnd w:id="31"/>
    <w:p w14:paraId="63FF5C64">
      <w:pPr>
        <w:pStyle w:val="257"/>
        <w:numPr>
          <w:ilvl w:val="0"/>
          <w:numId w:val="0"/>
        </w:numPr>
        <w:jc w:val="center"/>
      </w:pPr>
      <w:bookmarkStart w:id="870" w:name="BookMark8"/>
      <w:r>
        <w:drawing>
          <wp:inline distT="0" distB="0" distL="0" distR="0">
            <wp:extent cx="1383665" cy="41275"/>
            <wp:effectExtent l="0" t="0" r="6985" b="0"/>
            <wp:docPr id="18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383665" cy="41275"/>
                    </a:xfrm>
                    <a:prstGeom prst="rect">
                      <a:avLst/>
                    </a:prstGeom>
                    <a:noFill/>
                    <a:ln>
                      <a:noFill/>
                    </a:ln>
                  </pic:spPr>
                </pic:pic>
              </a:graphicData>
            </a:graphic>
          </wp:inline>
        </w:drawing>
      </w:r>
      <w:bookmarkEnd w:id="870"/>
    </w:p>
    <w:sectPr>
      <w:pgSz w:w="11906" w:h="16838"/>
      <w:pgMar w:top="1418" w:right="1134" w:bottom="1134" w:left="1418" w:header="1418" w:footer="1134" w:gutter="284"/>
      <w:pgNumType w:start="1"/>
      <w:cols w:space="425" w:num="1"/>
      <w:formProt w:val="0"/>
      <w:docGrid w:linePitch="312" w:charSpace="0"/>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EFDDC">
    <w:pPr>
      <w:pStyle w:val="22"/>
      <w:jc w:val="left"/>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II</w:t>
    </w:r>
    <w:r>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25839">
    <w:pPr>
      <w:pStyle w:val="22"/>
      <w:ind w:right="720" w:firstLine="4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94C06">
    <w:pPr>
      <w:pStyle w:val="61"/>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11</w:t>
    </w:r>
    <w:r>
      <w:rPr>
        <w:rFonts w:ascii="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49327">
    <w:pPr>
      <w:pStyle w:val="22"/>
      <w:jc w:val="left"/>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12</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5D5F">
    <w:pPr>
      <w:pStyle w:val="23"/>
      <w:wordWrap w:val="0"/>
      <w:ind w:firstLine="360"/>
      <w:jc w:val="right"/>
      <w:rPr>
        <w:rFonts w:hint="eastAsia" w:ascii="黑体" w:hAnsi="黑体" w:eastAsia="黑体"/>
      </w:rPr>
    </w:pPr>
    <w:r>
      <w:rPr>
        <w:rFonts w:hint="eastAsia" w:ascii="黑体" w:hAnsi="黑体" w:eastAsia="黑体"/>
      </w:rPr>
      <w:t>JB</w:t>
    </w:r>
    <w:r>
      <w:rPr>
        <w:rFonts w:ascii="黑体" w:hAnsi="黑体" w:eastAsia="黑体"/>
      </w:rPr>
      <w:t>/</w:t>
    </w:r>
    <w:r>
      <w:rPr>
        <w:rFonts w:hint="eastAsia" w:ascii="黑体" w:hAnsi="黑体" w:eastAsia="黑体"/>
      </w:rPr>
      <w:t xml:space="preserve">T </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507FD">
    <w:pPr>
      <w:pStyle w:val="23"/>
      <w:ind w:firstLine="4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A4A5E">
    <w:pPr>
      <w:pStyle w:val="70"/>
      <w:jc w:val="left"/>
      <w:rPr>
        <w:rFonts w:hint="eastAsia"/>
      </w:rPr>
    </w:pPr>
    <w:r>
      <w:fldChar w:fldCharType="begin"/>
    </w:r>
    <w:r>
      <w:instrText xml:space="preserve"> STYLEREF  标准文件_文件编号  \* MERGEFORMAT </w:instrText>
    </w:r>
    <w:r>
      <w:fldChar w:fldCharType="separate"/>
    </w:r>
    <w:r>
      <w:t>JB/T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3"/>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8"/>
      <w:suff w:val="nothing"/>
      <w:lvlText w:val="%1%2.%3　"/>
      <w:lvlJc w:val="left"/>
      <w:pPr>
        <w:ind w:left="0" w:firstLine="0"/>
      </w:pPr>
    </w:lvl>
    <w:lvl w:ilvl="3" w:tentative="0">
      <w:start w:val="1"/>
      <w:numFmt w:val="decimal"/>
      <w:pStyle w:val="127"/>
      <w:suff w:val="nothing"/>
      <w:lvlText w:val="%1%2.%3.%4　"/>
      <w:lvlJc w:val="left"/>
      <w:pPr>
        <w:ind w:left="0" w:firstLine="0"/>
      </w:pPr>
    </w:lvl>
    <w:lvl w:ilvl="4" w:tentative="0">
      <w:start w:val="1"/>
      <w:numFmt w:val="decimal"/>
      <w:pStyle w:val="162"/>
      <w:suff w:val="nothing"/>
      <w:lvlText w:val="%1%2.%3.%4.%5　"/>
      <w:lvlJc w:val="left"/>
      <w:pPr>
        <w:ind w:left="0" w:firstLine="0"/>
      </w:pPr>
    </w:lvl>
    <w:lvl w:ilvl="5" w:tentative="0">
      <w:start w:val="1"/>
      <w:numFmt w:val="decimal"/>
      <w:pStyle w:val="164"/>
      <w:suff w:val="nothing"/>
      <w:lvlText w:val="%1%2.%3.%4.%5.%6　"/>
      <w:lvlJc w:val="left"/>
      <w:pPr>
        <w:ind w:left="0" w:firstLine="0"/>
      </w:pPr>
    </w:lvl>
    <w:lvl w:ilvl="6" w:tentative="0">
      <w:start w:val="1"/>
      <w:numFmt w:val="decimal"/>
      <w:pStyle w:val="167"/>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9"/>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8"/>
      <w:lvlText w:val="%1"/>
      <w:lvlJc w:val="left"/>
      <w:pPr>
        <w:ind w:left="425" w:hanging="425"/>
      </w:pPr>
      <w:rPr>
        <w:rFonts w:hint="eastAsia"/>
      </w:rPr>
    </w:lvl>
    <w:lvl w:ilvl="1" w:tentative="0">
      <w:start w:val="1"/>
      <w:numFmt w:val="decimal"/>
      <w:pStyle w:val="209"/>
      <w:suff w:val="nothing"/>
      <w:lvlText w:val="%10.%2 "/>
      <w:lvlJc w:val="left"/>
      <w:pPr>
        <w:ind w:left="0" w:firstLine="0"/>
      </w:pPr>
      <w:rPr>
        <w:rFonts w:hint="eastAsia" w:ascii="黑体" w:hAnsi="等线" w:eastAsia="黑体"/>
        <w:b w:val="0"/>
        <w:i w:val="0"/>
        <w:sz w:val="21"/>
      </w:rPr>
    </w:lvl>
    <w:lvl w:ilvl="2" w:tentative="0">
      <w:start w:val="1"/>
      <w:numFmt w:val="decimal"/>
      <w:pStyle w:val="210"/>
      <w:suff w:val="nothing"/>
      <w:lvlText w:val="%10.%2.%3 "/>
      <w:lvlJc w:val="left"/>
      <w:pPr>
        <w:ind w:left="0" w:firstLine="0"/>
      </w:pPr>
      <w:rPr>
        <w:rFonts w:hint="eastAsia" w:ascii="黑体" w:hAnsi="等线" w:eastAsia="黑体"/>
        <w:b w:val="0"/>
        <w:i w:val="0"/>
        <w:sz w:val="21"/>
      </w:rPr>
    </w:lvl>
    <w:lvl w:ilvl="3" w:tentative="0">
      <w:start w:val="1"/>
      <w:numFmt w:val="decimal"/>
      <w:pStyle w:val="211"/>
      <w:suff w:val="nothing"/>
      <w:lvlText w:val="%10.%2.%3.%4 "/>
      <w:lvlJc w:val="left"/>
      <w:pPr>
        <w:ind w:left="0" w:firstLine="0"/>
      </w:pPr>
      <w:rPr>
        <w:rFonts w:hint="eastAsia" w:ascii="黑体" w:hAnsi="等线" w:eastAsia="黑体"/>
        <w:b w:val="0"/>
        <w:i w:val="0"/>
        <w:sz w:val="21"/>
      </w:rPr>
    </w:lvl>
    <w:lvl w:ilvl="4" w:tentative="0">
      <w:start w:val="1"/>
      <w:numFmt w:val="decimal"/>
      <w:pStyle w:val="212"/>
      <w:suff w:val="nothing"/>
      <w:lvlText w:val="%10.%2.%3.%4.%5 "/>
      <w:lvlJc w:val="left"/>
      <w:pPr>
        <w:ind w:left="0" w:firstLine="0"/>
      </w:pPr>
      <w:rPr>
        <w:rFonts w:hint="eastAsia" w:ascii="黑体" w:hAnsi="等线" w:eastAsia="黑体"/>
        <w:b w:val="0"/>
        <w:i w:val="0"/>
        <w:sz w:val="21"/>
      </w:rPr>
    </w:lvl>
    <w:lvl w:ilvl="5" w:tentative="0">
      <w:start w:val="1"/>
      <w:numFmt w:val="decimal"/>
      <w:pStyle w:val="213"/>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90"/>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6"/>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9"/>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4"/>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3C2409"/>
    <w:multiLevelType w:val="multilevel"/>
    <w:tmpl w:val="1E3C2409"/>
    <w:lvl w:ilvl="0" w:tentative="0">
      <w:start w:val="1"/>
      <w:numFmt w:val="lowerLetter"/>
      <w:pStyle w:val="267"/>
      <w:lvlText w:val="%1)"/>
      <w:lvlJc w:val="left"/>
      <w:pPr>
        <w:ind w:left="927" w:hanging="360"/>
      </w:pPr>
      <w:rPr>
        <w:rFonts w:hint="default" w:cs="宋体"/>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0">
    <w:nsid w:val="1EAA1992"/>
    <w:multiLevelType w:val="multilevel"/>
    <w:tmpl w:val="1EAA1992"/>
    <w:lvl w:ilvl="0" w:tentative="0">
      <w:start w:val="1"/>
      <w:numFmt w:val="none"/>
      <w:pStyle w:val="101"/>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5"/>
      <w:suff w:val="nothing"/>
      <w:lvlText w:val="%1.%2　"/>
      <w:lvlJc w:val="left"/>
      <w:pPr>
        <w:ind w:left="0" w:firstLine="0"/>
      </w:pPr>
      <w:rPr>
        <w:rFonts w:hint="eastAsia" w:ascii="黑体" w:hAnsi="Times New Roman" w:eastAsia="黑体" w:cs="Times New Roman"/>
        <w:b w:val="0"/>
        <w:bCs w:val="0"/>
        <w:i w:val="0"/>
        <w:iCs w:val="0"/>
        <w:caps w:val="0"/>
        <w:strike w:val="0"/>
        <w:dstrike w:val="0"/>
        <w:spacing w:val="0"/>
        <w:kern w:val="0"/>
        <w:position w:val="0"/>
        <w:sz w:val="21"/>
        <w:szCs w:val="21"/>
        <w:u w:val="none"/>
        <w:vertAlign w:val="baseline"/>
      </w:rPr>
    </w:lvl>
    <w:lvl w:ilvl="2" w:tentative="0">
      <w:start w:val="1"/>
      <w:numFmt w:val="decimal"/>
      <w:pStyle w:val="25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BD53A32"/>
    <w:multiLevelType w:val="multilevel"/>
    <w:tmpl w:val="2BD53A32"/>
    <w:lvl w:ilvl="0" w:tentative="0">
      <w:start w:val="1"/>
      <w:numFmt w:val="none"/>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default" w:ascii="Times New Roman" w:hAnsi="Times New Roman" w:cs="Times New Roman"/>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ind w:left="803" w:hanging="440"/>
      </w:pPr>
      <w:rPr>
        <w:rFonts w:ascii="宋体" w:hAnsi="宋体" w:eastAsia="宋体"/>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3">
    <w:nsid w:val="2C5917C3"/>
    <w:multiLevelType w:val="multilevel"/>
    <w:tmpl w:val="2C5917C3"/>
    <w:lvl w:ilvl="0" w:tentative="0">
      <w:start w:val="1"/>
      <w:numFmt w:val="none"/>
      <w:pStyle w:val="141"/>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6"/>
      <w:lvlText w:val=""/>
      <w:lvlJc w:val="left"/>
      <w:pPr>
        <w:ind w:left="851" w:hanging="431"/>
      </w:pPr>
      <w:rPr>
        <w:rFonts w:hint="default" w:ascii="Symbol" w:hAnsi="Symbol"/>
        <w:sz w:val="21"/>
      </w:rPr>
    </w:lvl>
    <w:lvl w:ilvl="2" w:tentative="0">
      <w:start w:val="1"/>
      <w:numFmt w:val="bullet"/>
      <w:pStyle w:val="181"/>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2D5D7B0C"/>
    <w:multiLevelType w:val="multilevel"/>
    <w:tmpl w:val="2D5D7B0C"/>
    <w:lvl w:ilvl="0" w:tentative="0">
      <w:start w:val="3"/>
      <w:numFmt w:val="none"/>
      <w:suff w:val="nothing"/>
      <w:lvlText w:val="%1"/>
      <w:lvlJc w:val="left"/>
      <w:pPr>
        <w:ind w:left="0" w:firstLine="0"/>
      </w:pPr>
      <w:rPr>
        <w:rFonts w:hint="eastAsia"/>
      </w:rPr>
    </w:lvl>
    <w:lvl w:ilvl="1" w:tentative="0">
      <w:start w:val="6"/>
      <w:numFmt w:val="decimal"/>
      <w:suff w:val="nothing"/>
      <w:lvlText w:val="%1%2　"/>
      <w:lvlJc w:val="left"/>
      <w:pPr>
        <w:ind w:left="0" w:firstLine="0"/>
      </w:pPr>
      <w:rPr>
        <w:rFonts w:hint="default" w:ascii="黑体" w:hAnsi="黑体" w:eastAsia="黑体" w:cs="Times New Roman"/>
        <w:b w:val="0"/>
        <w:i w:val="0"/>
        <w:sz w:val="21"/>
      </w:rPr>
    </w:lvl>
    <w:lvl w:ilvl="2" w:tentative="0">
      <w:start w:val="1"/>
      <w:numFmt w:val="decimal"/>
      <w:suff w:val="nothing"/>
      <w:lvlText w:val="%1%2.%3　"/>
      <w:lvlJc w:val="left"/>
      <w:pPr>
        <w:ind w:left="0" w:firstLine="0"/>
      </w:pPr>
      <w:rPr>
        <w:rFonts w:hint="default"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default" w:ascii="黑体" w:hAnsi="黑体" w:eastAsia="黑体" w:cs="Times New Roman"/>
        <w:b w:val="0"/>
        <w:i w:val="0"/>
        <w:color w:val="auto"/>
        <w:sz w:val="21"/>
      </w:rPr>
    </w:lvl>
    <w:lvl w:ilvl="4" w:tentative="0">
      <w:start w:val="1"/>
      <w:numFmt w:val="decimal"/>
      <w:suff w:val="nothing"/>
      <w:lvlText w:val="%1%2.%3.%4.%5　"/>
      <w:lvlJc w:val="left"/>
      <w:pPr>
        <w:ind w:left="63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2E32610F"/>
    <w:multiLevelType w:val="multilevel"/>
    <w:tmpl w:val="2E32610F"/>
    <w:lvl w:ilvl="0" w:tentative="0">
      <w:start w:val="1"/>
      <w:numFmt w:val="decimal"/>
      <w:pStyle w:val="263"/>
      <w:lvlText w:val="图%1 "/>
      <w:lvlJc w:val="left"/>
      <w:pPr>
        <w:ind w:left="220" w:hanging="420"/>
      </w:pPr>
      <w:rPr>
        <w:rFonts w:hint="default" w:ascii="Times New Roman" w:hAnsi="Times New Roman" w:eastAsia="黑体"/>
        <w:sz w:val="21"/>
      </w:rPr>
    </w:lvl>
    <w:lvl w:ilvl="1" w:tentative="0">
      <w:start w:val="1"/>
      <w:numFmt w:val="lowerLetter"/>
      <w:lvlText w:val="%2)"/>
      <w:lvlJc w:val="left"/>
      <w:pPr>
        <w:ind w:left="640" w:hanging="420"/>
      </w:pPr>
    </w:lvl>
    <w:lvl w:ilvl="2" w:tentative="0">
      <w:start w:val="1"/>
      <w:numFmt w:val="lowerRoman"/>
      <w:lvlText w:val="%3."/>
      <w:lvlJc w:val="right"/>
      <w:pPr>
        <w:ind w:left="1060" w:hanging="420"/>
      </w:pPr>
    </w:lvl>
    <w:lvl w:ilvl="3" w:tentative="0">
      <w:start w:val="1"/>
      <w:numFmt w:val="decimal"/>
      <w:lvlText w:val="%4."/>
      <w:lvlJc w:val="left"/>
      <w:pPr>
        <w:ind w:left="1480" w:hanging="420"/>
      </w:pPr>
    </w:lvl>
    <w:lvl w:ilvl="4" w:tentative="0">
      <w:start w:val="1"/>
      <w:numFmt w:val="lowerLetter"/>
      <w:lvlText w:val="%5)"/>
      <w:lvlJc w:val="left"/>
      <w:pPr>
        <w:ind w:left="1900" w:hanging="420"/>
      </w:pPr>
    </w:lvl>
    <w:lvl w:ilvl="5" w:tentative="0">
      <w:start w:val="1"/>
      <w:numFmt w:val="lowerRoman"/>
      <w:lvlText w:val="%6."/>
      <w:lvlJc w:val="right"/>
      <w:pPr>
        <w:ind w:left="2320" w:hanging="420"/>
      </w:pPr>
    </w:lvl>
    <w:lvl w:ilvl="6" w:tentative="0">
      <w:start w:val="1"/>
      <w:numFmt w:val="decimal"/>
      <w:lvlText w:val="%7."/>
      <w:lvlJc w:val="left"/>
      <w:pPr>
        <w:ind w:left="2740" w:hanging="420"/>
      </w:pPr>
    </w:lvl>
    <w:lvl w:ilvl="7" w:tentative="0">
      <w:start w:val="1"/>
      <w:numFmt w:val="lowerLetter"/>
      <w:lvlText w:val="%8)"/>
      <w:lvlJc w:val="left"/>
      <w:pPr>
        <w:ind w:left="3160" w:hanging="420"/>
      </w:pPr>
    </w:lvl>
    <w:lvl w:ilvl="8" w:tentative="0">
      <w:start w:val="1"/>
      <w:numFmt w:val="lowerRoman"/>
      <w:lvlText w:val="%9."/>
      <w:lvlJc w:val="right"/>
      <w:pPr>
        <w:ind w:left="3580" w:hanging="420"/>
      </w:pPr>
    </w:lvl>
  </w:abstractNum>
  <w:abstractNum w:abstractNumId="16">
    <w:nsid w:val="32F04FB2"/>
    <w:multiLevelType w:val="multilevel"/>
    <w:tmpl w:val="32F04FB2"/>
    <w:lvl w:ilvl="0" w:tentative="0">
      <w:start w:val="1"/>
      <w:numFmt w:val="lowerLetter"/>
      <w:pStyle w:val="110"/>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7">
    <w:nsid w:val="3D1C17D8"/>
    <w:multiLevelType w:val="multilevel"/>
    <w:tmpl w:val="3D1C17D8"/>
    <w:lvl w:ilvl="0" w:tentative="0">
      <w:start w:val="1"/>
      <w:numFmt w:val="decimal"/>
      <w:pStyle w:val="249"/>
      <w:lvlText w:val="表%1 "/>
      <w:lvlJc w:val="left"/>
      <w:pPr>
        <w:ind w:left="420" w:hanging="420"/>
      </w:pPr>
      <w:rPr>
        <w:rFonts w:hint="default" w:ascii="Times New Roman" w:hAnsi="Times New Roman"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FB37A85"/>
    <w:multiLevelType w:val="multilevel"/>
    <w:tmpl w:val="3FB37A85"/>
    <w:lvl w:ilvl="0" w:tentative="0">
      <w:start w:val="1"/>
      <w:numFmt w:val="none"/>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default" w:ascii="Times New Roman" w:hAnsi="Times New Roman" w:cs="Times New Roman"/>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ind w:left="803" w:hanging="440"/>
      </w:pPr>
      <w:rPr>
        <w:rFonts w:ascii="宋体" w:hAnsi="宋体" w:eastAsia="宋体"/>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9">
    <w:nsid w:val="44C50F90"/>
    <w:multiLevelType w:val="multilevel"/>
    <w:tmpl w:val="44C50F90"/>
    <w:lvl w:ilvl="0" w:tentative="0">
      <w:start w:val="1"/>
      <w:numFmt w:val="lowerLetter"/>
      <w:pStyle w:val="183"/>
      <w:lvlText w:val="%1)"/>
      <w:lvlJc w:val="left"/>
      <w:pPr>
        <w:tabs>
          <w:tab w:val="left" w:pos="851"/>
        </w:tabs>
        <w:ind w:left="851" w:hanging="426"/>
      </w:pPr>
      <w:rPr>
        <w:rFonts w:hint="eastAsia" w:ascii="宋体" w:hAnsi="Times New Roman" w:eastAsia="宋体"/>
        <w:sz w:val="21"/>
      </w:rPr>
    </w:lvl>
    <w:lvl w:ilvl="1" w:tentative="0">
      <w:start w:val="1"/>
      <w:numFmt w:val="decimal"/>
      <w:pStyle w:val="118"/>
      <w:lvlText w:val="%2)"/>
      <w:lvlJc w:val="left"/>
      <w:pPr>
        <w:tabs>
          <w:tab w:val="left" w:pos="1276"/>
        </w:tabs>
        <w:ind w:left="1276" w:hanging="425"/>
      </w:pPr>
      <w:rPr>
        <w:rFonts w:hint="eastAsia" w:ascii="宋体" w:hAnsi="Times New Roman" w:eastAsia="宋体"/>
        <w:sz w:val="21"/>
      </w:rPr>
    </w:lvl>
    <w:lvl w:ilvl="2" w:tentative="0">
      <w:start w:val="1"/>
      <w:numFmt w:val="decimal"/>
      <w:pStyle w:val="12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8802D1C"/>
    <w:multiLevelType w:val="multilevel"/>
    <w:tmpl w:val="48802D1C"/>
    <w:lvl w:ilvl="0" w:tentative="0">
      <w:start w:val="1"/>
      <w:numFmt w:val="upperLetter"/>
      <w:pStyle w:val="207"/>
      <w:lvlText w:val="%1"/>
      <w:lvlJc w:val="left"/>
      <w:pPr>
        <w:ind w:left="420" w:hanging="420"/>
      </w:pPr>
      <w:rPr>
        <w:rFonts w:hint="eastAsia"/>
      </w:rPr>
    </w:lvl>
    <w:lvl w:ilvl="1" w:tentative="0">
      <w:start w:val="1"/>
      <w:numFmt w:val="decimal"/>
      <w:pStyle w:val="92"/>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1">
    <w:nsid w:val="4B733A5F"/>
    <w:multiLevelType w:val="multilevel"/>
    <w:tmpl w:val="4B733A5F"/>
    <w:lvl w:ilvl="0" w:tentative="0">
      <w:start w:val="1"/>
      <w:numFmt w:val="decimal"/>
      <w:pStyle w:val="192"/>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2">
    <w:nsid w:val="4E5D0534"/>
    <w:multiLevelType w:val="multilevel"/>
    <w:tmpl w:val="4E5D0534"/>
    <w:lvl w:ilvl="0" w:tentative="0">
      <w:start w:val="1"/>
      <w:numFmt w:val="decimal"/>
      <w:pStyle w:val="125"/>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4632751"/>
    <w:multiLevelType w:val="multilevel"/>
    <w:tmpl w:val="54632751"/>
    <w:lvl w:ilvl="0" w:tentative="0">
      <w:start w:val="1"/>
      <w:numFmt w:val="none"/>
      <w:pStyle w:val="102"/>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4">
    <w:nsid w:val="557C2AF5"/>
    <w:multiLevelType w:val="multilevel"/>
    <w:tmpl w:val="557C2AF5"/>
    <w:lvl w:ilvl="0" w:tentative="0">
      <w:start w:val="1"/>
      <w:numFmt w:val="decimal"/>
      <w:pStyle w:val="123"/>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5603797C"/>
    <w:multiLevelType w:val="multilevel"/>
    <w:tmpl w:val="5603797C"/>
    <w:lvl w:ilvl="0" w:tentative="0">
      <w:start w:val="1"/>
      <w:numFmt w:val="upperLetter"/>
      <w:pStyle w:val="208"/>
      <w:suff w:val="space"/>
      <w:lvlText w:val="%1"/>
      <w:lvlJc w:val="left"/>
      <w:pPr>
        <w:ind w:left="425" w:hanging="425"/>
      </w:pPr>
      <w:rPr>
        <w:rFonts w:hint="eastAsia"/>
      </w:rPr>
    </w:lvl>
    <w:lvl w:ilvl="1" w:tentative="0">
      <w:start w:val="1"/>
      <w:numFmt w:val="decimal"/>
      <w:pStyle w:val="86"/>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564D2089"/>
    <w:multiLevelType w:val="multilevel"/>
    <w:tmpl w:val="564D2089"/>
    <w:lvl w:ilvl="0" w:tentative="0">
      <w:start w:val="1"/>
      <w:numFmt w:val="none"/>
      <w:pStyle w:val="120"/>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44622F9"/>
    <w:multiLevelType w:val="multilevel"/>
    <w:tmpl w:val="644622F9"/>
    <w:lvl w:ilvl="0" w:tentative="0">
      <w:start w:val="1"/>
      <w:numFmt w:val="upperRoman"/>
      <w:pStyle w:val="17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8">
    <w:nsid w:val="646260FA"/>
    <w:multiLevelType w:val="multilevel"/>
    <w:tmpl w:val="646260FA"/>
    <w:lvl w:ilvl="0" w:tentative="0">
      <w:start w:val="1"/>
      <w:numFmt w:val="decimal"/>
      <w:pStyle w:val="121"/>
      <w:suff w:val="nothing"/>
      <w:lvlText w:val="表%1　"/>
      <w:lvlJc w:val="left"/>
      <w:pPr>
        <w:ind w:left="4253"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9">
    <w:nsid w:val="654A26C9"/>
    <w:multiLevelType w:val="multilevel"/>
    <w:tmpl w:val="654A26C9"/>
    <w:lvl w:ilvl="0" w:tentative="0">
      <w:start w:val="1"/>
      <w:numFmt w:val="none"/>
      <w:pStyle w:val="198"/>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0">
    <w:nsid w:val="657D3FBC"/>
    <w:multiLevelType w:val="multilevel"/>
    <w:tmpl w:val="657D3FBC"/>
    <w:lvl w:ilvl="0" w:tentative="0">
      <w:start w:val="1"/>
      <w:numFmt w:val="upperLetter"/>
      <w:pStyle w:val="85"/>
      <w:suff w:val="nothing"/>
      <w:lvlText w:val="附录%1"/>
      <w:lvlJc w:val="left"/>
      <w:pPr>
        <w:ind w:left="0" w:firstLine="0"/>
      </w:pPr>
      <w:rPr>
        <w:rFonts w:hint="eastAsia"/>
        <w:spacing w:val="100"/>
      </w:rPr>
    </w:lvl>
    <w:lvl w:ilvl="1" w:tentative="0">
      <w:start w:val="1"/>
      <w:numFmt w:val="decimal"/>
      <w:pStyle w:val="87"/>
      <w:suff w:val="nothing"/>
      <w:lvlText w:val="%1.%2　"/>
      <w:lvlJc w:val="left"/>
      <w:pPr>
        <w:ind w:left="0" w:firstLine="0"/>
      </w:pPr>
      <w:rPr>
        <w:rFonts w:hint="eastAsia" w:ascii="黑体" w:eastAsia="黑体"/>
        <w:b w:val="0"/>
        <w:i w:val="0"/>
        <w:sz w:val="21"/>
      </w:rPr>
    </w:lvl>
    <w:lvl w:ilvl="2" w:tentative="0">
      <w:start w:val="1"/>
      <w:numFmt w:val="decimal"/>
      <w:pStyle w:val="88"/>
      <w:suff w:val="nothing"/>
      <w:lvlText w:val="%1.%2.%3　"/>
      <w:lvlJc w:val="left"/>
      <w:pPr>
        <w:ind w:left="0" w:firstLine="0"/>
      </w:pPr>
      <w:rPr>
        <w:rFonts w:hint="eastAsia" w:ascii="黑体" w:eastAsia="黑体"/>
        <w:b w:val="0"/>
        <w:i w:val="0"/>
        <w:sz w:val="21"/>
      </w:rPr>
    </w:lvl>
    <w:lvl w:ilvl="3" w:tentative="0">
      <w:start w:val="1"/>
      <w:numFmt w:val="decimal"/>
      <w:pStyle w:val="90"/>
      <w:suff w:val="nothing"/>
      <w:lvlText w:val="%1.%2.%3.%4　"/>
      <w:lvlJc w:val="left"/>
      <w:pPr>
        <w:ind w:left="0" w:firstLine="0"/>
      </w:pPr>
      <w:rPr>
        <w:rFonts w:hint="eastAsia" w:ascii="黑体" w:eastAsia="黑体"/>
        <w:b w:val="0"/>
        <w:i w:val="0"/>
        <w:sz w:val="21"/>
      </w:rPr>
    </w:lvl>
    <w:lvl w:ilvl="4" w:tentative="0">
      <w:start w:val="1"/>
      <w:numFmt w:val="decimal"/>
      <w:pStyle w:val="91"/>
      <w:suff w:val="nothing"/>
      <w:lvlText w:val="%1.%2.%3.%4.%5　"/>
      <w:lvlJc w:val="left"/>
      <w:pPr>
        <w:ind w:left="0" w:firstLine="0"/>
      </w:pPr>
      <w:rPr>
        <w:rFonts w:hint="eastAsia" w:ascii="黑体" w:eastAsia="黑体"/>
        <w:b w:val="0"/>
        <w:i w:val="0"/>
        <w:sz w:val="21"/>
      </w:rPr>
    </w:lvl>
    <w:lvl w:ilvl="5" w:tentative="0">
      <w:start w:val="1"/>
      <w:numFmt w:val="decimal"/>
      <w:pStyle w:val="93"/>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1">
    <w:nsid w:val="69506ABF"/>
    <w:multiLevelType w:val="multilevel"/>
    <w:tmpl w:val="69506ABF"/>
    <w:lvl w:ilvl="0" w:tentative="0">
      <w:start w:val="1"/>
      <w:numFmt w:val="bullet"/>
      <w:pStyle w:val="197"/>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2">
    <w:nsid w:val="6CA41985"/>
    <w:multiLevelType w:val="multilevel"/>
    <w:tmpl w:val="6CA41985"/>
    <w:lvl w:ilvl="0" w:tentative="0">
      <w:start w:val="1"/>
      <w:numFmt w:val="decimal"/>
      <w:pStyle w:val="106"/>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6CE42AC1"/>
    <w:multiLevelType w:val="multilevel"/>
    <w:tmpl w:val="6CE42AC1"/>
    <w:lvl w:ilvl="0" w:tentative="0">
      <w:start w:val="1"/>
      <w:numFmt w:val="lowerLetter"/>
      <w:pStyle w:val="18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default" w:ascii="黑体" w:hAnsi="黑体" w:eastAsia="黑体" w:cs="Times New Roman"/>
        <w:b w:val="0"/>
        <w:i w:val="0"/>
        <w:sz w:val="21"/>
      </w:rPr>
    </w:lvl>
    <w:lvl w:ilvl="2" w:tentative="0">
      <w:start w:val="1"/>
      <w:numFmt w:val="decimal"/>
      <w:suff w:val="nothing"/>
      <w:lvlText w:val="%1%2.%3　"/>
      <w:lvlJc w:val="left"/>
      <w:pPr>
        <w:ind w:left="0" w:firstLine="0"/>
      </w:pPr>
      <w:rPr>
        <w:rFonts w:hint="default"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default" w:ascii="黑体" w:hAnsi="黑体" w:eastAsia="黑体" w:cs="Times New Roman"/>
        <w:b w:val="0"/>
        <w:i w:val="0"/>
        <w:color w:val="auto"/>
        <w:sz w:val="21"/>
      </w:rPr>
    </w:lvl>
    <w:lvl w:ilvl="4" w:tentative="0">
      <w:start w:val="1"/>
      <w:numFmt w:val="decimal"/>
      <w:suff w:val="nothing"/>
      <w:lvlText w:val="%1%2.%3.%4.%5　"/>
      <w:lvlJc w:val="left"/>
      <w:pPr>
        <w:ind w:left="568" w:firstLine="0"/>
      </w:pPr>
      <w:rPr>
        <w:rFonts w:hint="eastAsia" w:ascii="黑体" w:eastAsia="黑体"/>
        <w:b w:val="0"/>
        <w:i w:val="0"/>
        <w:color w:val="auto"/>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5">
    <w:nsid w:val="6DBF04F4"/>
    <w:multiLevelType w:val="multilevel"/>
    <w:tmpl w:val="6DBF04F4"/>
    <w:lvl w:ilvl="0" w:tentative="0">
      <w:start w:val="1"/>
      <w:numFmt w:val="none"/>
      <w:pStyle w:val="18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default" w:ascii="Times New Roman" w:hAnsi="Times New Roman" w:cs="Times New Roman"/>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ind w:left="803" w:hanging="440"/>
      </w:p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6">
    <w:nsid w:val="6DF35F19"/>
    <w:multiLevelType w:val="multilevel"/>
    <w:tmpl w:val="6DF35F19"/>
    <w:lvl w:ilvl="0" w:tentative="0">
      <w:start w:val="1"/>
      <w:numFmt w:val="decimal"/>
      <w:pStyle w:val="124"/>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7">
    <w:nsid w:val="76933334"/>
    <w:multiLevelType w:val="multilevel"/>
    <w:tmpl w:val="76933334"/>
    <w:lvl w:ilvl="0" w:tentative="0">
      <w:start w:val="1"/>
      <w:numFmt w:val="none"/>
      <w:pStyle w:val="14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30"/>
  </w:num>
  <w:num w:numId="4">
    <w:abstractNumId w:val="25"/>
  </w:num>
  <w:num w:numId="5">
    <w:abstractNumId w:val="20"/>
  </w:num>
  <w:num w:numId="6">
    <w:abstractNumId w:val="8"/>
  </w:num>
  <w:num w:numId="7">
    <w:abstractNumId w:val="3"/>
  </w:num>
  <w:num w:numId="8">
    <w:abstractNumId w:val="10"/>
  </w:num>
  <w:num w:numId="9">
    <w:abstractNumId w:val="23"/>
  </w:num>
  <w:num w:numId="10">
    <w:abstractNumId w:val="32"/>
  </w:num>
  <w:num w:numId="11">
    <w:abstractNumId w:val="16"/>
  </w:num>
  <w:num w:numId="12">
    <w:abstractNumId w:val="19"/>
  </w:num>
  <w:num w:numId="13">
    <w:abstractNumId w:val="7"/>
  </w:num>
  <w:num w:numId="14">
    <w:abstractNumId w:val="26"/>
  </w:num>
  <w:num w:numId="15">
    <w:abstractNumId w:val="28"/>
  </w:num>
  <w:num w:numId="16">
    <w:abstractNumId w:val="24"/>
  </w:num>
  <w:num w:numId="17">
    <w:abstractNumId w:val="36"/>
  </w:num>
  <w:num w:numId="18">
    <w:abstractNumId w:val="22"/>
  </w:num>
  <w:num w:numId="19">
    <w:abstractNumId w:val="1"/>
  </w:num>
  <w:num w:numId="20">
    <w:abstractNumId w:val="13"/>
  </w:num>
  <w:num w:numId="21">
    <w:abstractNumId w:val="37"/>
  </w:num>
  <w:num w:numId="22">
    <w:abstractNumId w:val="27"/>
  </w:num>
  <w:num w:numId="23">
    <w:abstractNumId w:val="6"/>
  </w:num>
  <w:num w:numId="24">
    <w:abstractNumId w:val="33"/>
  </w:num>
  <w:num w:numId="25">
    <w:abstractNumId w:val="35"/>
  </w:num>
  <w:num w:numId="26">
    <w:abstractNumId w:val="2"/>
  </w:num>
  <w:num w:numId="27">
    <w:abstractNumId w:val="4"/>
  </w:num>
  <w:num w:numId="28">
    <w:abstractNumId w:val="21"/>
  </w:num>
  <w:num w:numId="29">
    <w:abstractNumId w:val="31"/>
  </w:num>
  <w:num w:numId="30">
    <w:abstractNumId w:val="29"/>
  </w:num>
  <w:num w:numId="31">
    <w:abstractNumId w:val="17"/>
  </w:num>
  <w:num w:numId="32">
    <w:abstractNumId w:val="11"/>
  </w:num>
  <w:num w:numId="33">
    <w:abstractNumId w:val="15"/>
  </w:num>
  <w:num w:numId="34">
    <w:abstractNumId w:val="9"/>
  </w:num>
  <w:num w:numId="35">
    <w:abstractNumId w:val="34"/>
  </w:num>
  <w:num w:numId="36">
    <w:abstractNumId w:val="18"/>
  </w:num>
  <w:num w:numId="37">
    <w:abstractNumId w:val="12"/>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0"/>
  <w:defaultTabStop w:val="21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sLQwMzI3MDI1NDM2N7dU0lEKTi0uzszPAykwMqoFAOCyUFMtAAAA"/>
    <w:docVar w:name="commondata" w:val="eyJoZGlkIjoiM2U0ODIwY2ExZGZkNDNhN2Y4MWZhZWJlMjc3YzFjN2MifQ=="/>
  </w:docVars>
  <w:rsids>
    <w:rsidRoot w:val="0008538A"/>
    <w:rsid w:val="0000040A"/>
    <w:rsid w:val="0000090C"/>
    <w:rsid w:val="00000A94"/>
    <w:rsid w:val="00000FAF"/>
    <w:rsid w:val="00001972"/>
    <w:rsid w:val="00001D9A"/>
    <w:rsid w:val="000032AE"/>
    <w:rsid w:val="0000342F"/>
    <w:rsid w:val="0000395D"/>
    <w:rsid w:val="000042E6"/>
    <w:rsid w:val="000047BC"/>
    <w:rsid w:val="00004E0B"/>
    <w:rsid w:val="00005899"/>
    <w:rsid w:val="000058AA"/>
    <w:rsid w:val="00005D06"/>
    <w:rsid w:val="00007B3A"/>
    <w:rsid w:val="0001019A"/>
    <w:rsid w:val="000105E0"/>
    <w:rsid w:val="000106D6"/>
    <w:rsid w:val="000107E0"/>
    <w:rsid w:val="00011988"/>
    <w:rsid w:val="00011FDE"/>
    <w:rsid w:val="000122EF"/>
    <w:rsid w:val="0001274A"/>
    <w:rsid w:val="00012FFD"/>
    <w:rsid w:val="00013D9F"/>
    <w:rsid w:val="00014162"/>
    <w:rsid w:val="00014340"/>
    <w:rsid w:val="00016A9C"/>
    <w:rsid w:val="00016B7F"/>
    <w:rsid w:val="000171F6"/>
    <w:rsid w:val="00020073"/>
    <w:rsid w:val="00020D19"/>
    <w:rsid w:val="00021451"/>
    <w:rsid w:val="00021664"/>
    <w:rsid w:val="0002216C"/>
    <w:rsid w:val="00022184"/>
    <w:rsid w:val="00022762"/>
    <w:rsid w:val="00022F04"/>
    <w:rsid w:val="000238E0"/>
    <w:rsid w:val="00023F69"/>
    <w:rsid w:val="000249DB"/>
    <w:rsid w:val="000250FA"/>
    <w:rsid w:val="0002595E"/>
    <w:rsid w:val="000259F3"/>
    <w:rsid w:val="000261BF"/>
    <w:rsid w:val="00026238"/>
    <w:rsid w:val="00026BD0"/>
    <w:rsid w:val="00027714"/>
    <w:rsid w:val="000303C3"/>
    <w:rsid w:val="000318EB"/>
    <w:rsid w:val="000331D3"/>
    <w:rsid w:val="00033F1E"/>
    <w:rsid w:val="000346A5"/>
    <w:rsid w:val="00034C54"/>
    <w:rsid w:val="000352DE"/>
    <w:rsid w:val="000359C3"/>
    <w:rsid w:val="00035A7D"/>
    <w:rsid w:val="0003616B"/>
    <w:rsid w:val="000363BE"/>
    <w:rsid w:val="000372FE"/>
    <w:rsid w:val="00037504"/>
    <w:rsid w:val="00037803"/>
    <w:rsid w:val="00037E4A"/>
    <w:rsid w:val="000401CA"/>
    <w:rsid w:val="00040C3C"/>
    <w:rsid w:val="000410E8"/>
    <w:rsid w:val="0004122A"/>
    <w:rsid w:val="000415B9"/>
    <w:rsid w:val="0004249A"/>
    <w:rsid w:val="00043282"/>
    <w:rsid w:val="000432C9"/>
    <w:rsid w:val="000440E6"/>
    <w:rsid w:val="00044286"/>
    <w:rsid w:val="00044384"/>
    <w:rsid w:val="0004511C"/>
    <w:rsid w:val="0004541F"/>
    <w:rsid w:val="00045C28"/>
    <w:rsid w:val="00046667"/>
    <w:rsid w:val="00046B6C"/>
    <w:rsid w:val="00047F28"/>
    <w:rsid w:val="00047F8C"/>
    <w:rsid w:val="000503AA"/>
    <w:rsid w:val="000506A1"/>
    <w:rsid w:val="0005099C"/>
    <w:rsid w:val="000515DD"/>
    <w:rsid w:val="0005265A"/>
    <w:rsid w:val="0005335D"/>
    <w:rsid w:val="000539DD"/>
    <w:rsid w:val="00053BD3"/>
    <w:rsid w:val="0005418E"/>
    <w:rsid w:val="00054376"/>
    <w:rsid w:val="000556ED"/>
    <w:rsid w:val="00055972"/>
    <w:rsid w:val="00055FE2"/>
    <w:rsid w:val="0005616F"/>
    <w:rsid w:val="00056741"/>
    <w:rsid w:val="00056AD1"/>
    <w:rsid w:val="00056B33"/>
    <w:rsid w:val="0005759A"/>
    <w:rsid w:val="0006044E"/>
    <w:rsid w:val="0006076E"/>
    <w:rsid w:val="00060C2E"/>
    <w:rsid w:val="00061033"/>
    <w:rsid w:val="00061458"/>
    <w:rsid w:val="000619E9"/>
    <w:rsid w:val="00061BCD"/>
    <w:rsid w:val="0006225D"/>
    <w:rsid w:val="000622D4"/>
    <w:rsid w:val="00062B28"/>
    <w:rsid w:val="0006357D"/>
    <w:rsid w:val="000670E0"/>
    <w:rsid w:val="000677F2"/>
    <w:rsid w:val="00067A2D"/>
    <w:rsid w:val="00067F1E"/>
    <w:rsid w:val="00070C3C"/>
    <w:rsid w:val="00071CC0"/>
    <w:rsid w:val="00071D27"/>
    <w:rsid w:val="00072FB4"/>
    <w:rsid w:val="000731B3"/>
    <w:rsid w:val="000732B0"/>
    <w:rsid w:val="000735DC"/>
    <w:rsid w:val="00073C8C"/>
    <w:rsid w:val="0007575E"/>
    <w:rsid w:val="000773D2"/>
    <w:rsid w:val="0007753E"/>
    <w:rsid w:val="00077B64"/>
    <w:rsid w:val="000802A0"/>
    <w:rsid w:val="00080A1C"/>
    <w:rsid w:val="00082213"/>
    <w:rsid w:val="00082317"/>
    <w:rsid w:val="00083209"/>
    <w:rsid w:val="000834B4"/>
    <w:rsid w:val="00083D2C"/>
    <w:rsid w:val="00083FFD"/>
    <w:rsid w:val="00084939"/>
    <w:rsid w:val="00084B7F"/>
    <w:rsid w:val="0008538A"/>
    <w:rsid w:val="0008539C"/>
    <w:rsid w:val="000856FD"/>
    <w:rsid w:val="00085895"/>
    <w:rsid w:val="00085B16"/>
    <w:rsid w:val="00086AA1"/>
    <w:rsid w:val="000872D6"/>
    <w:rsid w:val="00087845"/>
    <w:rsid w:val="00087A77"/>
    <w:rsid w:val="00087A9F"/>
    <w:rsid w:val="000903A7"/>
    <w:rsid w:val="00090654"/>
    <w:rsid w:val="00090CA6"/>
    <w:rsid w:val="00090F2F"/>
    <w:rsid w:val="00091131"/>
    <w:rsid w:val="000928E5"/>
    <w:rsid w:val="00092B8A"/>
    <w:rsid w:val="00092F06"/>
    <w:rsid w:val="00092FB0"/>
    <w:rsid w:val="000934C5"/>
    <w:rsid w:val="00093D25"/>
    <w:rsid w:val="00093DAB"/>
    <w:rsid w:val="00094B4A"/>
    <w:rsid w:val="00094D73"/>
    <w:rsid w:val="00095290"/>
    <w:rsid w:val="000958E5"/>
    <w:rsid w:val="0009625E"/>
    <w:rsid w:val="00096D63"/>
    <w:rsid w:val="000979F8"/>
    <w:rsid w:val="000A0126"/>
    <w:rsid w:val="000A0991"/>
    <w:rsid w:val="000A0B60"/>
    <w:rsid w:val="000A0EB8"/>
    <w:rsid w:val="000A19FC"/>
    <w:rsid w:val="000A2576"/>
    <w:rsid w:val="000A296B"/>
    <w:rsid w:val="000A2A58"/>
    <w:rsid w:val="000A3353"/>
    <w:rsid w:val="000A47AA"/>
    <w:rsid w:val="000A557C"/>
    <w:rsid w:val="000A5D5D"/>
    <w:rsid w:val="000A5EBC"/>
    <w:rsid w:val="000A7204"/>
    <w:rsid w:val="000A7311"/>
    <w:rsid w:val="000A73B5"/>
    <w:rsid w:val="000A7AC1"/>
    <w:rsid w:val="000A7B89"/>
    <w:rsid w:val="000B060F"/>
    <w:rsid w:val="000B0B9B"/>
    <w:rsid w:val="000B1592"/>
    <w:rsid w:val="000B1FF2"/>
    <w:rsid w:val="000B304A"/>
    <w:rsid w:val="000B31BD"/>
    <w:rsid w:val="000B3CDA"/>
    <w:rsid w:val="000B3E54"/>
    <w:rsid w:val="000B4027"/>
    <w:rsid w:val="000B406F"/>
    <w:rsid w:val="000B41BD"/>
    <w:rsid w:val="000B519F"/>
    <w:rsid w:val="000B6245"/>
    <w:rsid w:val="000B6A0B"/>
    <w:rsid w:val="000B6D6F"/>
    <w:rsid w:val="000B70B8"/>
    <w:rsid w:val="000B7166"/>
    <w:rsid w:val="000B75EB"/>
    <w:rsid w:val="000C033A"/>
    <w:rsid w:val="000C0F6C"/>
    <w:rsid w:val="000C11DB"/>
    <w:rsid w:val="000C1492"/>
    <w:rsid w:val="000C2FBD"/>
    <w:rsid w:val="000C4875"/>
    <w:rsid w:val="000C4B41"/>
    <w:rsid w:val="000C57D6"/>
    <w:rsid w:val="000C6314"/>
    <w:rsid w:val="000C67E6"/>
    <w:rsid w:val="000C6976"/>
    <w:rsid w:val="000C71E1"/>
    <w:rsid w:val="000C74D0"/>
    <w:rsid w:val="000C7583"/>
    <w:rsid w:val="000C7666"/>
    <w:rsid w:val="000D0A9C"/>
    <w:rsid w:val="000D0B7D"/>
    <w:rsid w:val="000D1795"/>
    <w:rsid w:val="000D1B42"/>
    <w:rsid w:val="000D2018"/>
    <w:rsid w:val="000D2141"/>
    <w:rsid w:val="000D255F"/>
    <w:rsid w:val="000D2F41"/>
    <w:rsid w:val="000D2F70"/>
    <w:rsid w:val="000D2FF1"/>
    <w:rsid w:val="000D329A"/>
    <w:rsid w:val="000D3475"/>
    <w:rsid w:val="000D391E"/>
    <w:rsid w:val="000D4AF8"/>
    <w:rsid w:val="000D4B9C"/>
    <w:rsid w:val="000D4EB6"/>
    <w:rsid w:val="000D5218"/>
    <w:rsid w:val="000D5A01"/>
    <w:rsid w:val="000D6AF7"/>
    <w:rsid w:val="000D753B"/>
    <w:rsid w:val="000D79B1"/>
    <w:rsid w:val="000E002B"/>
    <w:rsid w:val="000E004F"/>
    <w:rsid w:val="000E0A6A"/>
    <w:rsid w:val="000E14EF"/>
    <w:rsid w:val="000E2B31"/>
    <w:rsid w:val="000E2BD9"/>
    <w:rsid w:val="000E3FBA"/>
    <w:rsid w:val="000E4370"/>
    <w:rsid w:val="000E4A32"/>
    <w:rsid w:val="000E4BA4"/>
    <w:rsid w:val="000E4C9E"/>
    <w:rsid w:val="000E5FBB"/>
    <w:rsid w:val="000E6FD7"/>
    <w:rsid w:val="000E756B"/>
    <w:rsid w:val="000E7CA3"/>
    <w:rsid w:val="000F0172"/>
    <w:rsid w:val="000F06E1"/>
    <w:rsid w:val="000F07ED"/>
    <w:rsid w:val="000F0A7D"/>
    <w:rsid w:val="000F0E3C"/>
    <w:rsid w:val="000F0FA8"/>
    <w:rsid w:val="000F101D"/>
    <w:rsid w:val="000F1724"/>
    <w:rsid w:val="000F19D5"/>
    <w:rsid w:val="000F3914"/>
    <w:rsid w:val="000F46BF"/>
    <w:rsid w:val="000F4AEA"/>
    <w:rsid w:val="000F556B"/>
    <w:rsid w:val="000F577C"/>
    <w:rsid w:val="000F5CF8"/>
    <w:rsid w:val="000F67E9"/>
    <w:rsid w:val="000F70A1"/>
    <w:rsid w:val="001001E0"/>
    <w:rsid w:val="00101DA0"/>
    <w:rsid w:val="001023C9"/>
    <w:rsid w:val="00102B09"/>
    <w:rsid w:val="00102B66"/>
    <w:rsid w:val="00102F8A"/>
    <w:rsid w:val="00104500"/>
    <w:rsid w:val="00104926"/>
    <w:rsid w:val="001059D8"/>
    <w:rsid w:val="00105CA2"/>
    <w:rsid w:val="00107A39"/>
    <w:rsid w:val="00110ED0"/>
    <w:rsid w:val="00111031"/>
    <w:rsid w:val="00112E21"/>
    <w:rsid w:val="00113B1E"/>
    <w:rsid w:val="001155FD"/>
    <w:rsid w:val="00116144"/>
    <w:rsid w:val="00116671"/>
    <w:rsid w:val="00116B70"/>
    <w:rsid w:val="00116DA5"/>
    <w:rsid w:val="0011711C"/>
    <w:rsid w:val="00117903"/>
    <w:rsid w:val="00120396"/>
    <w:rsid w:val="00121376"/>
    <w:rsid w:val="00121762"/>
    <w:rsid w:val="00121B81"/>
    <w:rsid w:val="0012252D"/>
    <w:rsid w:val="00123530"/>
    <w:rsid w:val="00124395"/>
    <w:rsid w:val="0012482B"/>
    <w:rsid w:val="00124E47"/>
    <w:rsid w:val="00124E4F"/>
    <w:rsid w:val="00125815"/>
    <w:rsid w:val="001260B7"/>
    <w:rsid w:val="001265CB"/>
    <w:rsid w:val="001268B6"/>
    <w:rsid w:val="00127635"/>
    <w:rsid w:val="00127E58"/>
    <w:rsid w:val="00130299"/>
    <w:rsid w:val="0013048F"/>
    <w:rsid w:val="00131AFD"/>
    <w:rsid w:val="001321C6"/>
    <w:rsid w:val="001321F2"/>
    <w:rsid w:val="001325C4"/>
    <w:rsid w:val="00132758"/>
    <w:rsid w:val="001329F4"/>
    <w:rsid w:val="00133010"/>
    <w:rsid w:val="001334E2"/>
    <w:rsid w:val="001338EE"/>
    <w:rsid w:val="00133924"/>
    <w:rsid w:val="00133AAE"/>
    <w:rsid w:val="00135323"/>
    <w:rsid w:val="00135328"/>
    <w:rsid w:val="001356C4"/>
    <w:rsid w:val="00135EBF"/>
    <w:rsid w:val="00136473"/>
    <w:rsid w:val="001364DF"/>
    <w:rsid w:val="00136BFE"/>
    <w:rsid w:val="00140465"/>
    <w:rsid w:val="00141114"/>
    <w:rsid w:val="0014112D"/>
    <w:rsid w:val="001414CC"/>
    <w:rsid w:val="00141E78"/>
    <w:rsid w:val="00142969"/>
    <w:rsid w:val="0014337F"/>
    <w:rsid w:val="00143464"/>
    <w:rsid w:val="0014362D"/>
    <w:rsid w:val="001438FE"/>
    <w:rsid w:val="00144EEA"/>
    <w:rsid w:val="001456EB"/>
    <w:rsid w:val="001457E7"/>
    <w:rsid w:val="00145D9D"/>
    <w:rsid w:val="001460C2"/>
    <w:rsid w:val="00146388"/>
    <w:rsid w:val="00147078"/>
    <w:rsid w:val="001471A2"/>
    <w:rsid w:val="00150651"/>
    <w:rsid w:val="0015096F"/>
    <w:rsid w:val="001509B6"/>
    <w:rsid w:val="0015100C"/>
    <w:rsid w:val="00151FF5"/>
    <w:rsid w:val="0015266C"/>
    <w:rsid w:val="001529E5"/>
    <w:rsid w:val="00152DE0"/>
    <w:rsid w:val="00153C7E"/>
    <w:rsid w:val="00153F47"/>
    <w:rsid w:val="001541AE"/>
    <w:rsid w:val="001542E8"/>
    <w:rsid w:val="00154984"/>
    <w:rsid w:val="00155626"/>
    <w:rsid w:val="00155BB9"/>
    <w:rsid w:val="00156B25"/>
    <w:rsid w:val="00156E1A"/>
    <w:rsid w:val="00157B55"/>
    <w:rsid w:val="00157CFC"/>
    <w:rsid w:val="001604F2"/>
    <w:rsid w:val="00160FA6"/>
    <w:rsid w:val="0016121E"/>
    <w:rsid w:val="00162BAD"/>
    <w:rsid w:val="00162C6C"/>
    <w:rsid w:val="0016360B"/>
    <w:rsid w:val="0016362B"/>
    <w:rsid w:val="00163FFF"/>
    <w:rsid w:val="001642FA"/>
    <w:rsid w:val="001649EB"/>
    <w:rsid w:val="00164BAF"/>
    <w:rsid w:val="00164E3B"/>
    <w:rsid w:val="00164FA8"/>
    <w:rsid w:val="00165053"/>
    <w:rsid w:val="00165065"/>
    <w:rsid w:val="0016510F"/>
    <w:rsid w:val="00165434"/>
    <w:rsid w:val="0016580B"/>
    <w:rsid w:val="00165F49"/>
    <w:rsid w:val="001667A2"/>
    <w:rsid w:val="00166B88"/>
    <w:rsid w:val="00166DA2"/>
    <w:rsid w:val="0016770A"/>
    <w:rsid w:val="001702FF"/>
    <w:rsid w:val="00170303"/>
    <w:rsid w:val="00170804"/>
    <w:rsid w:val="001708E9"/>
    <w:rsid w:val="00170951"/>
    <w:rsid w:val="00170A53"/>
    <w:rsid w:val="00170AD7"/>
    <w:rsid w:val="00170D0D"/>
    <w:rsid w:val="00170D26"/>
    <w:rsid w:val="00171FF4"/>
    <w:rsid w:val="001728D6"/>
    <w:rsid w:val="00172DF2"/>
    <w:rsid w:val="0017340B"/>
    <w:rsid w:val="00173DB0"/>
    <w:rsid w:val="00173FB1"/>
    <w:rsid w:val="00174D6E"/>
    <w:rsid w:val="00175401"/>
    <w:rsid w:val="001755F5"/>
    <w:rsid w:val="00176265"/>
    <w:rsid w:val="00176DFD"/>
    <w:rsid w:val="00176F08"/>
    <w:rsid w:val="001815A2"/>
    <w:rsid w:val="001826AA"/>
    <w:rsid w:val="00182851"/>
    <w:rsid w:val="001834F3"/>
    <w:rsid w:val="001852C9"/>
    <w:rsid w:val="001861ED"/>
    <w:rsid w:val="00186A48"/>
    <w:rsid w:val="00187FCA"/>
    <w:rsid w:val="00190087"/>
    <w:rsid w:val="001909F5"/>
    <w:rsid w:val="001913C4"/>
    <w:rsid w:val="001916D6"/>
    <w:rsid w:val="00192394"/>
    <w:rsid w:val="0019340D"/>
    <w:rsid w:val="00193424"/>
    <w:rsid w:val="0019348F"/>
    <w:rsid w:val="00193A07"/>
    <w:rsid w:val="00193B06"/>
    <w:rsid w:val="00194C95"/>
    <w:rsid w:val="00194CCA"/>
    <w:rsid w:val="00194D42"/>
    <w:rsid w:val="001954B0"/>
    <w:rsid w:val="00195A36"/>
    <w:rsid w:val="00195C34"/>
    <w:rsid w:val="00195E24"/>
    <w:rsid w:val="00197AF4"/>
    <w:rsid w:val="00197DA7"/>
    <w:rsid w:val="001A0060"/>
    <w:rsid w:val="001A0F05"/>
    <w:rsid w:val="001A181D"/>
    <w:rsid w:val="001A1A53"/>
    <w:rsid w:val="001A22B2"/>
    <w:rsid w:val="001A234A"/>
    <w:rsid w:val="001A3304"/>
    <w:rsid w:val="001A34A8"/>
    <w:rsid w:val="001A6CE4"/>
    <w:rsid w:val="001A7984"/>
    <w:rsid w:val="001A7C07"/>
    <w:rsid w:val="001B06E8"/>
    <w:rsid w:val="001B0C41"/>
    <w:rsid w:val="001B10B3"/>
    <w:rsid w:val="001B1100"/>
    <w:rsid w:val="001B127E"/>
    <w:rsid w:val="001B193E"/>
    <w:rsid w:val="001B2018"/>
    <w:rsid w:val="001B2295"/>
    <w:rsid w:val="001B2552"/>
    <w:rsid w:val="001B50A2"/>
    <w:rsid w:val="001B698F"/>
    <w:rsid w:val="001B6AB8"/>
    <w:rsid w:val="001B6B8D"/>
    <w:rsid w:val="001B71D0"/>
    <w:rsid w:val="001B71EE"/>
    <w:rsid w:val="001B7C92"/>
    <w:rsid w:val="001C01B6"/>
    <w:rsid w:val="001C04A8"/>
    <w:rsid w:val="001C2C03"/>
    <w:rsid w:val="001C2DA8"/>
    <w:rsid w:val="001C3467"/>
    <w:rsid w:val="001C3C57"/>
    <w:rsid w:val="001C3E14"/>
    <w:rsid w:val="001C42F7"/>
    <w:rsid w:val="001C49E5"/>
    <w:rsid w:val="001C4B2B"/>
    <w:rsid w:val="001C51EE"/>
    <w:rsid w:val="001C5A26"/>
    <w:rsid w:val="001C5B86"/>
    <w:rsid w:val="001C6124"/>
    <w:rsid w:val="001C680C"/>
    <w:rsid w:val="001C6B5B"/>
    <w:rsid w:val="001C7FEA"/>
    <w:rsid w:val="001D0499"/>
    <w:rsid w:val="001D0BBE"/>
    <w:rsid w:val="001D0CEB"/>
    <w:rsid w:val="001D0ED4"/>
    <w:rsid w:val="001D1113"/>
    <w:rsid w:val="001D1493"/>
    <w:rsid w:val="001D212F"/>
    <w:rsid w:val="001D23C1"/>
    <w:rsid w:val="001D29D7"/>
    <w:rsid w:val="001D2DE7"/>
    <w:rsid w:val="001D3030"/>
    <w:rsid w:val="001D411C"/>
    <w:rsid w:val="001D4B96"/>
    <w:rsid w:val="001D5D07"/>
    <w:rsid w:val="001D5DD9"/>
    <w:rsid w:val="001D6F02"/>
    <w:rsid w:val="001D775B"/>
    <w:rsid w:val="001E051A"/>
    <w:rsid w:val="001E1002"/>
    <w:rsid w:val="001E1601"/>
    <w:rsid w:val="001E1B6A"/>
    <w:rsid w:val="001E246D"/>
    <w:rsid w:val="001E2484"/>
    <w:rsid w:val="001E3A20"/>
    <w:rsid w:val="001E3CC4"/>
    <w:rsid w:val="001E4096"/>
    <w:rsid w:val="001E4882"/>
    <w:rsid w:val="001E5CC3"/>
    <w:rsid w:val="001E5E65"/>
    <w:rsid w:val="001E61E7"/>
    <w:rsid w:val="001E639D"/>
    <w:rsid w:val="001E73AB"/>
    <w:rsid w:val="001F04F1"/>
    <w:rsid w:val="001F092D"/>
    <w:rsid w:val="001F0BD1"/>
    <w:rsid w:val="001F143A"/>
    <w:rsid w:val="001F1605"/>
    <w:rsid w:val="001F1FBA"/>
    <w:rsid w:val="001F2508"/>
    <w:rsid w:val="001F2AD0"/>
    <w:rsid w:val="001F2CBA"/>
    <w:rsid w:val="001F47BB"/>
    <w:rsid w:val="001F4816"/>
    <w:rsid w:val="001F4B1B"/>
    <w:rsid w:val="001F6348"/>
    <w:rsid w:val="001F69B4"/>
    <w:rsid w:val="001F6A3D"/>
    <w:rsid w:val="001F77C7"/>
    <w:rsid w:val="00200183"/>
    <w:rsid w:val="00200516"/>
    <w:rsid w:val="0020052E"/>
    <w:rsid w:val="00200DA8"/>
    <w:rsid w:val="0020107D"/>
    <w:rsid w:val="00202AA4"/>
    <w:rsid w:val="002031F7"/>
    <w:rsid w:val="00203FF0"/>
    <w:rsid w:val="002040E6"/>
    <w:rsid w:val="002041C0"/>
    <w:rsid w:val="00204F69"/>
    <w:rsid w:val="0020527B"/>
    <w:rsid w:val="00205F2C"/>
    <w:rsid w:val="002068F2"/>
    <w:rsid w:val="002076C2"/>
    <w:rsid w:val="00207BEB"/>
    <w:rsid w:val="002101DC"/>
    <w:rsid w:val="002109AD"/>
    <w:rsid w:val="00210B15"/>
    <w:rsid w:val="00210D31"/>
    <w:rsid w:val="0021150A"/>
    <w:rsid w:val="00211AC7"/>
    <w:rsid w:val="00213D7D"/>
    <w:rsid w:val="002142EA"/>
    <w:rsid w:val="00215E0A"/>
    <w:rsid w:val="002160A6"/>
    <w:rsid w:val="002163D5"/>
    <w:rsid w:val="002172CD"/>
    <w:rsid w:val="002172D7"/>
    <w:rsid w:val="00217401"/>
    <w:rsid w:val="0021768B"/>
    <w:rsid w:val="00217D95"/>
    <w:rsid w:val="00220134"/>
    <w:rsid w:val="002204BB"/>
    <w:rsid w:val="002210C8"/>
    <w:rsid w:val="00221B79"/>
    <w:rsid w:val="00221C6B"/>
    <w:rsid w:val="00222D15"/>
    <w:rsid w:val="00223C05"/>
    <w:rsid w:val="00224596"/>
    <w:rsid w:val="0022494F"/>
    <w:rsid w:val="00224AE8"/>
    <w:rsid w:val="002253A1"/>
    <w:rsid w:val="00225CF8"/>
    <w:rsid w:val="0022641F"/>
    <w:rsid w:val="002270EC"/>
    <w:rsid w:val="00227331"/>
    <w:rsid w:val="0022794E"/>
    <w:rsid w:val="00230689"/>
    <w:rsid w:val="00230DBB"/>
    <w:rsid w:val="002312FA"/>
    <w:rsid w:val="00232F04"/>
    <w:rsid w:val="002333F3"/>
    <w:rsid w:val="00233B1A"/>
    <w:rsid w:val="00233D64"/>
    <w:rsid w:val="00233F85"/>
    <w:rsid w:val="00234784"/>
    <w:rsid w:val="0023482A"/>
    <w:rsid w:val="00234A97"/>
    <w:rsid w:val="00235209"/>
    <w:rsid w:val="002359CB"/>
    <w:rsid w:val="00235C0E"/>
    <w:rsid w:val="00237C32"/>
    <w:rsid w:val="00241007"/>
    <w:rsid w:val="00241E6D"/>
    <w:rsid w:val="00242027"/>
    <w:rsid w:val="00243540"/>
    <w:rsid w:val="002441BF"/>
    <w:rsid w:val="00244339"/>
    <w:rsid w:val="0024497B"/>
    <w:rsid w:val="0024515B"/>
    <w:rsid w:val="0024531F"/>
    <w:rsid w:val="00246021"/>
    <w:rsid w:val="0024666E"/>
    <w:rsid w:val="00246C3D"/>
    <w:rsid w:val="00247B6D"/>
    <w:rsid w:val="00247F52"/>
    <w:rsid w:val="00250222"/>
    <w:rsid w:val="00250529"/>
    <w:rsid w:val="00250937"/>
    <w:rsid w:val="00250B25"/>
    <w:rsid w:val="00250BBE"/>
    <w:rsid w:val="00251182"/>
    <w:rsid w:val="00251451"/>
    <w:rsid w:val="002515C2"/>
    <w:rsid w:val="002517FE"/>
    <w:rsid w:val="0025194F"/>
    <w:rsid w:val="00251B81"/>
    <w:rsid w:val="0025244E"/>
    <w:rsid w:val="0025300F"/>
    <w:rsid w:val="00253B4A"/>
    <w:rsid w:val="00254F87"/>
    <w:rsid w:val="00255362"/>
    <w:rsid w:val="002559CC"/>
    <w:rsid w:val="00256A54"/>
    <w:rsid w:val="00256A58"/>
    <w:rsid w:val="00257900"/>
    <w:rsid w:val="00257A0F"/>
    <w:rsid w:val="00260426"/>
    <w:rsid w:val="002610D9"/>
    <w:rsid w:val="0026148A"/>
    <w:rsid w:val="00262696"/>
    <w:rsid w:val="002634BC"/>
    <w:rsid w:val="00263EF8"/>
    <w:rsid w:val="002643C3"/>
    <w:rsid w:val="00264A0C"/>
    <w:rsid w:val="00265B97"/>
    <w:rsid w:val="00265FB3"/>
    <w:rsid w:val="0026710E"/>
    <w:rsid w:val="00267ED2"/>
    <w:rsid w:val="00267EF4"/>
    <w:rsid w:val="00270CB8"/>
    <w:rsid w:val="00270DF5"/>
    <w:rsid w:val="00272706"/>
    <w:rsid w:val="00272790"/>
    <w:rsid w:val="00272B08"/>
    <w:rsid w:val="00274E13"/>
    <w:rsid w:val="00275D7C"/>
    <w:rsid w:val="00275F4F"/>
    <w:rsid w:val="00276ED7"/>
    <w:rsid w:val="00280D52"/>
    <w:rsid w:val="0028128E"/>
    <w:rsid w:val="002819D5"/>
    <w:rsid w:val="00281BB8"/>
    <w:rsid w:val="00281E9E"/>
    <w:rsid w:val="00282DCE"/>
    <w:rsid w:val="00283AE6"/>
    <w:rsid w:val="00285170"/>
    <w:rsid w:val="00285361"/>
    <w:rsid w:val="00286699"/>
    <w:rsid w:val="00287453"/>
    <w:rsid w:val="00287618"/>
    <w:rsid w:val="0028761B"/>
    <w:rsid w:val="002877DB"/>
    <w:rsid w:val="0028799D"/>
    <w:rsid w:val="002904AD"/>
    <w:rsid w:val="002906FA"/>
    <w:rsid w:val="0029149E"/>
    <w:rsid w:val="002914FF"/>
    <w:rsid w:val="00292D60"/>
    <w:rsid w:val="00293A78"/>
    <w:rsid w:val="00294157"/>
    <w:rsid w:val="00294274"/>
    <w:rsid w:val="002944E5"/>
    <w:rsid w:val="002949E3"/>
    <w:rsid w:val="00294B74"/>
    <w:rsid w:val="00294D34"/>
    <w:rsid w:val="00294E3B"/>
    <w:rsid w:val="002951D2"/>
    <w:rsid w:val="00296193"/>
    <w:rsid w:val="00296C66"/>
    <w:rsid w:val="00296EBE"/>
    <w:rsid w:val="002974E3"/>
    <w:rsid w:val="00297619"/>
    <w:rsid w:val="00297EF1"/>
    <w:rsid w:val="002A0549"/>
    <w:rsid w:val="002A084B"/>
    <w:rsid w:val="002A1260"/>
    <w:rsid w:val="002A139C"/>
    <w:rsid w:val="002A1589"/>
    <w:rsid w:val="002A1608"/>
    <w:rsid w:val="002A1714"/>
    <w:rsid w:val="002A1C17"/>
    <w:rsid w:val="002A2384"/>
    <w:rsid w:val="002A25DC"/>
    <w:rsid w:val="002A30FD"/>
    <w:rsid w:val="002A343B"/>
    <w:rsid w:val="002A3AAB"/>
    <w:rsid w:val="002A3B02"/>
    <w:rsid w:val="002A3C29"/>
    <w:rsid w:val="002A3C3D"/>
    <w:rsid w:val="002A3E4B"/>
    <w:rsid w:val="002A44E5"/>
    <w:rsid w:val="002A4CEA"/>
    <w:rsid w:val="002A5977"/>
    <w:rsid w:val="002A5A13"/>
    <w:rsid w:val="002A6054"/>
    <w:rsid w:val="002A6382"/>
    <w:rsid w:val="002A689B"/>
    <w:rsid w:val="002A6E5F"/>
    <w:rsid w:val="002A6E75"/>
    <w:rsid w:val="002A757F"/>
    <w:rsid w:val="002A7C08"/>
    <w:rsid w:val="002A7F44"/>
    <w:rsid w:val="002B0C40"/>
    <w:rsid w:val="002B1966"/>
    <w:rsid w:val="002B23E3"/>
    <w:rsid w:val="002B382C"/>
    <w:rsid w:val="002B4508"/>
    <w:rsid w:val="002B5779"/>
    <w:rsid w:val="002B5FC6"/>
    <w:rsid w:val="002B62D0"/>
    <w:rsid w:val="002B648E"/>
    <w:rsid w:val="002B7332"/>
    <w:rsid w:val="002B7F51"/>
    <w:rsid w:val="002C00D6"/>
    <w:rsid w:val="002C02EA"/>
    <w:rsid w:val="002C09E7"/>
    <w:rsid w:val="002C17F7"/>
    <w:rsid w:val="002C18AE"/>
    <w:rsid w:val="002C208D"/>
    <w:rsid w:val="002C2531"/>
    <w:rsid w:val="002C2947"/>
    <w:rsid w:val="002C3115"/>
    <w:rsid w:val="002C3F07"/>
    <w:rsid w:val="002C4A27"/>
    <w:rsid w:val="002C5278"/>
    <w:rsid w:val="002C5608"/>
    <w:rsid w:val="002C570A"/>
    <w:rsid w:val="002C5C3F"/>
    <w:rsid w:val="002C6E10"/>
    <w:rsid w:val="002C71DD"/>
    <w:rsid w:val="002C7EBB"/>
    <w:rsid w:val="002D06C1"/>
    <w:rsid w:val="002D2624"/>
    <w:rsid w:val="002D2B3E"/>
    <w:rsid w:val="002D31B4"/>
    <w:rsid w:val="002D3886"/>
    <w:rsid w:val="002D3B89"/>
    <w:rsid w:val="002D3EE7"/>
    <w:rsid w:val="002D42B5"/>
    <w:rsid w:val="002D4F1A"/>
    <w:rsid w:val="002D6151"/>
    <w:rsid w:val="002D6DA6"/>
    <w:rsid w:val="002D6EC6"/>
    <w:rsid w:val="002D7462"/>
    <w:rsid w:val="002D79AC"/>
    <w:rsid w:val="002E039D"/>
    <w:rsid w:val="002E0F46"/>
    <w:rsid w:val="002E164C"/>
    <w:rsid w:val="002E1F4E"/>
    <w:rsid w:val="002E33CE"/>
    <w:rsid w:val="002E3F71"/>
    <w:rsid w:val="002E44B1"/>
    <w:rsid w:val="002E4610"/>
    <w:rsid w:val="002E4708"/>
    <w:rsid w:val="002E4D5A"/>
    <w:rsid w:val="002E5F1A"/>
    <w:rsid w:val="002E61DC"/>
    <w:rsid w:val="002E6326"/>
    <w:rsid w:val="002E69BB"/>
    <w:rsid w:val="002E69F8"/>
    <w:rsid w:val="002E6CFE"/>
    <w:rsid w:val="002E73E1"/>
    <w:rsid w:val="002E7FF7"/>
    <w:rsid w:val="002F1B60"/>
    <w:rsid w:val="002F1D39"/>
    <w:rsid w:val="002F2A20"/>
    <w:rsid w:val="002F30E0"/>
    <w:rsid w:val="002F35E4"/>
    <w:rsid w:val="002F3679"/>
    <w:rsid w:val="002F3730"/>
    <w:rsid w:val="002F3855"/>
    <w:rsid w:val="002F38E1"/>
    <w:rsid w:val="002F5116"/>
    <w:rsid w:val="002F55D5"/>
    <w:rsid w:val="002F6884"/>
    <w:rsid w:val="002F7011"/>
    <w:rsid w:val="002F7188"/>
    <w:rsid w:val="002F7643"/>
    <w:rsid w:val="002F7AF6"/>
    <w:rsid w:val="002F7F99"/>
    <w:rsid w:val="00300E0D"/>
    <w:rsid w:val="00300E63"/>
    <w:rsid w:val="0030287F"/>
    <w:rsid w:val="00302F5F"/>
    <w:rsid w:val="00303364"/>
    <w:rsid w:val="0030441D"/>
    <w:rsid w:val="003045B6"/>
    <w:rsid w:val="003047ED"/>
    <w:rsid w:val="00304F4A"/>
    <w:rsid w:val="003055EA"/>
    <w:rsid w:val="00305943"/>
    <w:rsid w:val="00306063"/>
    <w:rsid w:val="00306F40"/>
    <w:rsid w:val="00311A56"/>
    <w:rsid w:val="00311C8E"/>
    <w:rsid w:val="00313B85"/>
    <w:rsid w:val="003155E4"/>
    <w:rsid w:val="0031569B"/>
    <w:rsid w:val="003158EC"/>
    <w:rsid w:val="00316AAE"/>
    <w:rsid w:val="00317988"/>
    <w:rsid w:val="00320B44"/>
    <w:rsid w:val="00321149"/>
    <w:rsid w:val="00321D40"/>
    <w:rsid w:val="003221B4"/>
    <w:rsid w:val="00322408"/>
    <w:rsid w:val="003226D4"/>
    <w:rsid w:val="0032282C"/>
    <w:rsid w:val="00322E62"/>
    <w:rsid w:val="0032378B"/>
    <w:rsid w:val="0032405B"/>
    <w:rsid w:val="003242D3"/>
    <w:rsid w:val="00324EDD"/>
    <w:rsid w:val="003253A2"/>
    <w:rsid w:val="00326560"/>
    <w:rsid w:val="0032740A"/>
    <w:rsid w:val="0032776F"/>
    <w:rsid w:val="00327ABF"/>
    <w:rsid w:val="003314AC"/>
    <w:rsid w:val="003331E4"/>
    <w:rsid w:val="003336EC"/>
    <w:rsid w:val="00334772"/>
    <w:rsid w:val="00334CEA"/>
    <w:rsid w:val="00335AB8"/>
    <w:rsid w:val="0033628C"/>
    <w:rsid w:val="00336C64"/>
    <w:rsid w:val="00336D0D"/>
    <w:rsid w:val="00337162"/>
    <w:rsid w:val="00337586"/>
    <w:rsid w:val="0034025E"/>
    <w:rsid w:val="003406E6"/>
    <w:rsid w:val="00340A87"/>
    <w:rsid w:val="003414A0"/>
    <w:rsid w:val="003414CC"/>
    <w:rsid w:val="003417DD"/>
    <w:rsid w:val="0034194F"/>
    <w:rsid w:val="00342DB8"/>
    <w:rsid w:val="00344605"/>
    <w:rsid w:val="00344A8B"/>
    <w:rsid w:val="0034523F"/>
    <w:rsid w:val="00346417"/>
    <w:rsid w:val="003467E1"/>
    <w:rsid w:val="003474AA"/>
    <w:rsid w:val="0034758B"/>
    <w:rsid w:val="00350D1D"/>
    <w:rsid w:val="00351030"/>
    <w:rsid w:val="003515B9"/>
    <w:rsid w:val="00351901"/>
    <w:rsid w:val="00351BD4"/>
    <w:rsid w:val="003525AA"/>
    <w:rsid w:val="00352C83"/>
    <w:rsid w:val="00355B62"/>
    <w:rsid w:val="00357391"/>
    <w:rsid w:val="00361005"/>
    <w:rsid w:val="003615D2"/>
    <w:rsid w:val="00361719"/>
    <w:rsid w:val="003617A8"/>
    <w:rsid w:val="00361A84"/>
    <w:rsid w:val="00361B41"/>
    <w:rsid w:val="00363494"/>
    <w:rsid w:val="0036429C"/>
    <w:rsid w:val="003642DC"/>
    <w:rsid w:val="00364A53"/>
    <w:rsid w:val="00364C70"/>
    <w:rsid w:val="0036513D"/>
    <w:rsid w:val="003654CB"/>
    <w:rsid w:val="003657EB"/>
    <w:rsid w:val="00365F86"/>
    <w:rsid w:val="00365F87"/>
    <w:rsid w:val="00367830"/>
    <w:rsid w:val="003705F4"/>
    <w:rsid w:val="00370D58"/>
    <w:rsid w:val="003712C2"/>
    <w:rsid w:val="00371316"/>
    <w:rsid w:val="003729F7"/>
    <w:rsid w:val="00372E79"/>
    <w:rsid w:val="003750B8"/>
    <w:rsid w:val="0037524F"/>
    <w:rsid w:val="00375C2F"/>
    <w:rsid w:val="00376713"/>
    <w:rsid w:val="00376F06"/>
    <w:rsid w:val="003777BF"/>
    <w:rsid w:val="00377ED4"/>
    <w:rsid w:val="003804ED"/>
    <w:rsid w:val="00380D4E"/>
    <w:rsid w:val="00381815"/>
    <w:rsid w:val="003819AF"/>
    <w:rsid w:val="003820E9"/>
    <w:rsid w:val="00382B20"/>
    <w:rsid w:val="00382DE7"/>
    <w:rsid w:val="00382E1F"/>
    <w:rsid w:val="00382F40"/>
    <w:rsid w:val="003840A4"/>
    <w:rsid w:val="0038431C"/>
    <w:rsid w:val="0038460E"/>
    <w:rsid w:val="00384D57"/>
    <w:rsid w:val="00384FFB"/>
    <w:rsid w:val="00384FFC"/>
    <w:rsid w:val="0038516C"/>
    <w:rsid w:val="0038624E"/>
    <w:rsid w:val="00386910"/>
    <w:rsid w:val="00386B16"/>
    <w:rsid w:val="00386EA8"/>
    <w:rsid w:val="00387298"/>
    <w:rsid w:val="003872FC"/>
    <w:rsid w:val="003878C8"/>
    <w:rsid w:val="00387ADC"/>
    <w:rsid w:val="00387C97"/>
    <w:rsid w:val="00390020"/>
    <w:rsid w:val="003903D6"/>
    <w:rsid w:val="00390EE6"/>
    <w:rsid w:val="0039118F"/>
    <w:rsid w:val="003915D9"/>
    <w:rsid w:val="00391718"/>
    <w:rsid w:val="00391FB1"/>
    <w:rsid w:val="0039278C"/>
    <w:rsid w:val="00392AD7"/>
    <w:rsid w:val="00392C8C"/>
    <w:rsid w:val="00392D72"/>
    <w:rsid w:val="00393548"/>
    <w:rsid w:val="003938D9"/>
    <w:rsid w:val="00394376"/>
    <w:rsid w:val="003943FF"/>
    <w:rsid w:val="00395CFE"/>
    <w:rsid w:val="00396110"/>
    <w:rsid w:val="003974EB"/>
    <w:rsid w:val="00397CC5"/>
    <w:rsid w:val="003A0306"/>
    <w:rsid w:val="003A0EBD"/>
    <w:rsid w:val="003A13F1"/>
    <w:rsid w:val="003A1582"/>
    <w:rsid w:val="003A1C26"/>
    <w:rsid w:val="003A202A"/>
    <w:rsid w:val="003A230A"/>
    <w:rsid w:val="003A28FA"/>
    <w:rsid w:val="003A2E92"/>
    <w:rsid w:val="003A39EE"/>
    <w:rsid w:val="003A4077"/>
    <w:rsid w:val="003A4D3E"/>
    <w:rsid w:val="003A6461"/>
    <w:rsid w:val="003A6EF7"/>
    <w:rsid w:val="003A71D1"/>
    <w:rsid w:val="003A74ED"/>
    <w:rsid w:val="003B09AD"/>
    <w:rsid w:val="003B0ADD"/>
    <w:rsid w:val="003B0BD9"/>
    <w:rsid w:val="003B126D"/>
    <w:rsid w:val="003B16F9"/>
    <w:rsid w:val="003B1946"/>
    <w:rsid w:val="003B1F18"/>
    <w:rsid w:val="003B25D8"/>
    <w:rsid w:val="003B2E2C"/>
    <w:rsid w:val="003B30B4"/>
    <w:rsid w:val="003B33C8"/>
    <w:rsid w:val="003B4452"/>
    <w:rsid w:val="003B4F08"/>
    <w:rsid w:val="003B5059"/>
    <w:rsid w:val="003B562C"/>
    <w:rsid w:val="003B5B1E"/>
    <w:rsid w:val="003B5BF0"/>
    <w:rsid w:val="003B60BF"/>
    <w:rsid w:val="003B6BE3"/>
    <w:rsid w:val="003B7BB0"/>
    <w:rsid w:val="003C010C"/>
    <w:rsid w:val="003C0A6C"/>
    <w:rsid w:val="003C1B24"/>
    <w:rsid w:val="003C1F26"/>
    <w:rsid w:val="003C244F"/>
    <w:rsid w:val="003C2854"/>
    <w:rsid w:val="003C2859"/>
    <w:rsid w:val="003C310B"/>
    <w:rsid w:val="003C3B50"/>
    <w:rsid w:val="003C3D98"/>
    <w:rsid w:val="003C4614"/>
    <w:rsid w:val="003C5A43"/>
    <w:rsid w:val="003C6912"/>
    <w:rsid w:val="003C6EB9"/>
    <w:rsid w:val="003C702E"/>
    <w:rsid w:val="003C77A9"/>
    <w:rsid w:val="003D0519"/>
    <w:rsid w:val="003D0A9A"/>
    <w:rsid w:val="003D0C54"/>
    <w:rsid w:val="003D0FF6"/>
    <w:rsid w:val="003D102A"/>
    <w:rsid w:val="003D14C6"/>
    <w:rsid w:val="003D262C"/>
    <w:rsid w:val="003D29A6"/>
    <w:rsid w:val="003D30B9"/>
    <w:rsid w:val="003D4A62"/>
    <w:rsid w:val="003D6276"/>
    <w:rsid w:val="003D6D61"/>
    <w:rsid w:val="003D714D"/>
    <w:rsid w:val="003E091D"/>
    <w:rsid w:val="003E0D62"/>
    <w:rsid w:val="003E1C53"/>
    <w:rsid w:val="003E216F"/>
    <w:rsid w:val="003E2A69"/>
    <w:rsid w:val="003E2D49"/>
    <w:rsid w:val="003E2FD4"/>
    <w:rsid w:val="003E3023"/>
    <w:rsid w:val="003E3B83"/>
    <w:rsid w:val="003E49F6"/>
    <w:rsid w:val="003E591E"/>
    <w:rsid w:val="003E601F"/>
    <w:rsid w:val="003E62DE"/>
    <w:rsid w:val="003E7947"/>
    <w:rsid w:val="003F0000"/>
    <w:rsid w:val="003F0841"/>
    <w:rsid w:val="003F1618"/>
    <w:rsid w:val="003F23D3"/>
    <w:rsid w:val="003F2EFB"/>
    <w:rsid w:val="003F2FD0"/>
    <w:rsid w:val="003F30B5"/>
    <w:rsid w:val="003F3235"/>
    <w:rsid w:val="003F3E63"/>
    <w:rsid w:val="003F3F08"/>
    <w:rsid w:val="003F44BF"/>
    <w:rsid w:val="003F470C"/>
    <w:rsid w:val="003F49F1"/>
    <w:rsid w:val="003F55B2"/>
    <w:rsid w:val="003F5919"/>
    <w:rsid w:val="003F61F9"/>
    <w:rsid w:val="003F6272"/>
    <w:rsid w:val="003F6433"/>
    <w:rsid w:val="003F67EE"/>
    <w:rsid w:val="003F72A3"/>
    <w:rsid w:val="003F73C3"/>
    <w:rsid w:val="003F7452"/>
    <w:rsid w:val="00400B0D"/>
    <w:rsid w:val="00400E72"/>
    <w:rsid w:val="00400F04"/>
    <w:rsid w:val="004010EB"/>
    <w:rsid w:val="00401400"/>
    <w:rsid w:val="00401A3A"/>
    <w:rsid w:val="00403C03"/>
    <w:rsid w:val="0040432A"/>
    <w:rsid w:val="00404869"/>
    <w:rsid w:val="00404A74"/>
    <w:rsid w:val="0040550E"/>
    <w:rsid w:val="004057D2"/>
    <w:rsid w:val="00405884"/>
    <w:rsid w:val="004060F4"/>
    <w:rsid w:val="00406635"/>
    <w:rsid w:val="00406BB5"/>
    <w:rsid w:val="0040730B"/>
    <w:rsid w:val="00407517"/>
    <w:rsid w:val="00407C3D"/>
    <w:rsid w:val="00407D39"/>
    <w:rsid w:val="00407F24"/>
    <w:rsid w:val="00410382"/>
    <w:rsid w:val="00410468"/>
    <w:rsid w:val="0041063F"/>
    <w:rsid w:val="004109BA"/>
    <w:rsid w:val="00411ABF"/>
    <w:rsid w:val="00412044"/>
    <w:rsid w:val="00412581"/>
    <w:rsid w:val="00412EA0"/>
    <w:rsid w:val="0041381F"/>
    <w:rsid w:val="004139EB"/>
    <w:rsid w:val="00413FAD"/>
    <w:rsid w:val="00414410"/>
    <w:rsid w:val="0041477A"/>
    <w:rsid w:val="00414BAA"/>
    <w:rsid w:val="00415AD4"/>
    <w:rsid w:val="004162B9"/>
    <w:rsid w:val="004167A3"/>
    <w:rsid w:val="00416BE2"/>
    <w:rsid w:val="00417E32"/>
    <w:rsid w:val="00421934"/>
    <w:rsid w:val="00422051"/>
    <w:rsid w:val="00423A86"/>
    <w:rsid w:val="00424B3C"/>
    <w:rsid w:val="00424DB9"/>
    <w:rsid w:val="004254BC"/>
    <w:rsid w:val="00425C9F"/>
    <w:rsid w:val="00430913"/>
    <w:rsid w:val="00430E77"/>
    <w:rsid w:val="004317B5"/>
    <w:rsid w:val="00432A28"/>
    <w:rsid w:val="00432DAA"/>
    <w:rsid w:val="0043345C"/>
    <w:rsid w:val="0043362D"/>
    <w:rsid w:val="00433F4A"/>
    <w:rsid w:val="00434305"/>
    <w:rsid w:val="00435173"/>
    <w:rsid w:val="004355E5"/>
    <w:rsid w:val="00435649"/>
    <w:rsid w:val="00435DB1"/>
    <w:rsid w:val="00435DF7"/>
    <w:rsid w:val="004365A2"/>
    <w:rsid w:val="004365D4"/>
    <w:rsid w:val="004368D8"/>
    <w:rsid w:val="0044083F"/>
    <w:rsid w:val="00441AE7"/>
    <w:rsid w:val="00442499"/>
    <w:rsid w:val="004425BE"/>
    <w:rsid w:val="00443E8D"/>
    <w:rsid w:val="004444F5"/>
    <w:rsid w:val="00445418"/>
    <w:rsid w:val="00445574"/>
    <w:rsid w:val="00445801"/>
    <w:rsid w:val="00445BD4"/>
    <w:rsid w:val="00445C34"/>
    <w:rsid w:val="00445C3C"/>
    <w:rsid w:val="004464D9"/>
    <w:rsid w:val="004467FB"/>
    <w:rsid w:val="004503A5"/>
    <w:rsid w:val="00450E5F"/>
    <w:rsid w:val="00452D6B"/>
    <w:rsid w:val="00454484"/>
    <w:rsid w:val="00454579"/>
    <w:rsid w:val="004549A4"/>
    <w:rsid w:val="00454E35"/>
    <w:rsid w:val="0045517B"/>
    <w:rsid w:val="00455C6B"/>
    <w:rsid w:val="00455CCB"/>
    <w:rsid w:val="004563CD"/>
    <w:rsid w:val="0045652D"/>
    <w:rsid w:val="00457B87"/>
    <w:rsid w:val="00460594"/>
    <w:rsid w:val="00462ADA"/>
    <w:rsid w:val="00462D2E"/>
    <w:rsid w:val="004630F3"/>
    <w:rsid w:val="004631EF"/>
    <w:rsid w:val="004635C0"/>
    <w:rsid w:val="00463835"/>
    <w:rsid w:val="00463B77"/>
    <w:rsid w:val="00463C7B"/>
    <w:rsid w:val="00463F02"/>
    <w:rsid w:val="004644A6"/>
    <w:rsid w:val="004659BD"/>
    <w:rsid w:val="00465C98"/>
    <w:rsid w:val="00466505"/>
    <w:rsid w:val="00467678"/>
    <w:rsid w:val="004677F9"/>
    <w:rsid w:val="00470775"/>
    <w:rsid w:val="00470C64"/>
    <w:rsid w:val="00471271"/>
    <w:rsid w:val="004715BD"/>
    <w:rsid w:val="00472680"/>
    <w:rsid w:val="0047333F"/>
    <w:rsid w:val="00473C62"/>
    <w:rsid w:val="004743FA"/>
    <w:rsid w:val="004746B1"/>
    <w:rsid w:val="00475676"/>
    <w:rsid w:val="0047583F"/>
    <w:rsid w:val="00476986"/>
    <w:rsid w:val="00476D1F"/>
    <w:rsid w:val="00476EB2"/>
    <w:rsid w:val="00477B1D"/>
    <w:rsid w:val="004808DD"/>
    <w:rsid w:val="0048101C"/>
    <w:rsid w:val="004811E3"/>
    <w:rsid w:val="00482248"/>
    <w:rsid w:val="004828E5"/>
    <w:rsid w:val="00483C77"/>
    <w:rsid w:val="00484830"/>
    <w:rsid w:val="00484936"/>
    <w:rsid w:val="00484E3C"/>
    <w:rsid w:val="00485087"/>
    <w:rsid w:val="0048516D"/>
    <w:rsid w:val="00485C89"/>
    <w:rsid w:val="00486471"/>
    <w:rsid w:val="00486BE3"/>
    <w:rsid w:val="004872B2"/>
    <w:rsid w:val="00487CCF"/>
    <w:rsid w:val="00490225"/>
    <w:rsid w:val="004905E4"/>
    <w:rsid w:val="00490A89"/>
    <w:rsid w:val="00490AB4"/>
    <w:rsid w:val="00490EA5"/>
    <w:rsid w:val="0049152B"/>
    <w:rsid w:val="00491BFB"/>
    <w:rsid w:val="004920D8"/>
    <w:rsid w:val="00492F02"/>
    <w:rsid w:val="004939AE"/>
    <w:rsid w:val="00494493"/>
    <w:rsid w:val="00494A48"/>
    <w:rsid w:val="00494BE7"/>
    <w:rsid w:val="0049525E"/>
    <w:rsid w:val="00495694"/>
    <w:rsid w:val="00495A31"/>
    <w:rsid w:val="00495B25"/>
    <w:rsid w:val="00495FA1"/>
    <w:rsid w:val="00495FE8"/>
    <w:rsid w:val="004967D8"/>
    <w:rsid w:val="004A015E"/>
    <w:rsid w:val="004A12DF"/>
    <w:rsid w:val="004A1BA8"/>
    <w:rsid w:val="004A31CC"/>
    <w:rsid w:val="004A31DA"/>
    <w:rsid w:val="004A4A44"/>
    <w:rsid w:val="004A4B57"/>
    <w:rsid w:val="004A5397"/>
    <w:rsid w:val="004A55FE"/>
    <w:rsid w:val="004A63FA"/>
    <w:rsid w:val="004A640D"/>
    <w:rsid w:val="004A7061"/>
    <w:rsid w:val="004A7DC4"/>
    <w:rsid w:val="004B0272"/>
    <w:rsid w:val="004B121B"/>
    <w:rsid w:val="004B2701"/>
    <w:rsid w:val="004B2E1B"/>
    <w:rsid w:val="004B39F1"/>
    <w:rsid w:val="004B3B2D"/>
    <w:rsid w:val="004B3CDC"/>
    <w:rsid w:val="004B3E93"/>
    <w:rsid w:val="004B4380"/>
    <w:rsid w:val="004B618A"/>
    <w:rsid w:val="004B66B5"/>
    <w:rsid w:val="004C008D"/>
    <w:rsid w:val="004C0E6A"/>
    <w:rsid w:val="004C0FA1"/>
    <w:rsid w:val="004C1FBC"/>
    <w:rsid w:val="004C3DF9"/>
    <w:rsid w:val="004C3F1D"/>
    <w:rsid w:val="004C458D"/>
    <w:rsid w:val="004C5D4C"/>
    <w:rsid w:val="004C6570"/>
    <w:rsid w:val="004C6774"/>
    <w:rsid w:val="004C7556"/>
    <w:rsid w:val="004C76F2"/>
    <w:rsid w:val="004C7BBC"/>
    <w:rsid w:val="004C7E9D"/>
    <w:rsid w:val="004C7F67"/>
    <w:rsid w:val="004D05D2"/>
    <w:rsid w:val="004D076D"/>
    <w:rsid w:val="004D0EF1"/>
    <w:rsid w:val="004D0FC0"/>
    <w:rsid w:val="004D0FEF"/>
    <w:rsid w:val="004D103C"/>
    <w:rsid w:val="004D189E"/>
    <w:rsid w:val="004D19B9"/>
    <w:rsid w:val="004D2253"/>
    <w:rsid w:val="004D22B1"/>
    <w:rsid w:val="004D2A6C"/>
    <w:rsid w:val="004D383D"/>
    <w:rsid w:val="004D41BC"/>
    <w:rsid w:val="004D4406"/>
    <w:rsid w:val="004D48ED"/>
    <w:rsid w:val="004D4EF2"/>
    <w:rsid w:val="004D5641"/>
    <w:rsid w:val="004D613A"/>
    <w:rsid w:val="004D71EE"/>
    <w:rsid w:val="004D7C42"/>
    <w:rsid w:val="004E02B5"/>
    <w:rsid w:val="004E0456"/>
    <w:rsid w:val="004E0465"/>
    <w:rsid w:val="004E127B"/>
    <w:rsid w:val="004E1C0A"/>
    <w:rsid w:val="004E1D2C"/>
    <w:rsid w:val="004E3014"/>
    <w:rsid w:val="004E30C5"/>
    <w:rsid w:val="004E346A"/>
    <w:rsid w:val="004E41AE"/>
    <w:rsid w:val="004E4A65"/>
    <w:rsid w:val="004E4AA5"/>
    <w:rsid w:val="004E4AEE"/>
    <w:rsid w:val="004E5451"/>
    <w:rsid w:val="004E59E3"/>
    <w:rsid w:val="004E5C57"/>
    <w:rsid w:val="004E6617"/>
    <w:rsid w:val="004E67C0"/>
    <w:rsid w:val="004E6E2E"/>
    <w:rsid w:val="004E70E2"/>
    <w:rsid w:val="004F14B0"/>
    <w:rsid w:val="004F19BA"/>
    <w:rsid w:val="004F2554"/>
    <w:rsid w:val="004F2816"/>
    <w:rsid w:val="004F391A"/>
    <w:rsid w:val="004F3CFB"/>
    <w:rsid w:val="004F436D"/>
    <w:rsid w:val="004F4B20"/>
    <w:rsid w:val="004F4ED6"/>
    <w:rsid w:val="004F528E"/>
    <w:rsid w:val="004F5D65"/>
    <w:rsid w:val="004F6456"/>
    <w:rsid w:val="004F696E"/>
    <w:rsid w:val="004F6C71"/>
    <w:rsid w:val="004F6E3E"/>
    <w:rsid w:val="004F7C6D"/>
    <w:rsid w:val="0050018D"/>
    <w:rsid w:val="005001C4"/>
    <w:rsid w:val="005004D3"/>
    <w:rsid w:val="00500E0B"/>
    <w:rsid w:val="00501139"/>
    <w:rsid w:val="00502235"/>
    <w:rsid w:val="00502991"/>
    <w:rsid w:val="00502A4B"/>
    <w:rsid w:val="005033FD"/>
    <w:rsid w:val="0050363E"/>
    <w:rsid w:val="005039BC"/>
    <w:rsid w:val="00503C73"/>
    <w:rsid w:val="005043BB"/>
    <w:rsid w:val="0050461D"/>
    <w:rsid w:val="00504A3D"/>
    <w:rsid w:val="00504C14"/>
    <w:rsid w:val="00505211"/>
    <w:rsid w:val="00505767"/>
    <w:rsid w:val="00505DF8"/>
    <w:rsid w:val="00505FEF"/>
    <w:rsid w:val="005065DC"/>
    <w:rsid w:val="00506B7E"/>
    <w:rsid w:val="005073F0"/>
    <w:rsid w:val="00507D4A"/>
    <w:rsid w:val="00510A7B"/>
    <w:rsid w:val="0051183B"/>
    <w:rsid w:val="005123FF"/>
    <w:rsid w:val="00512625"/>
    <w:rsid w:val="00512F6E"/>
    <w:rsid w:val="00513038"/>
    <w:rsid w:val="005134E8"/>
    <w:rsid w:val="00513896"/>
    <w:rsid w:val="005138B3"/>
    <w:rsid w:val="00514174"/>
    <w:rsid w:val="00515FA2"/>
    <w:rsid w:val="00516088"/>
    <w:rsid w:val="00516B0B"/>
    <w:rsid w:val="005175D0"/>
    <w:rsid w:val="005207F4"/>
    <w:rsid w:val="00520DEC"/>
    <w:rsid w:val="00521144"/>
    <w:rsid w:val="005214BF"/>
    <w:rsid w:val="005218DE"/>
    <w:rsid w:val="005220EC"/>
    <w:rsid w:val="0052218B"/>
    <w:rsid w:val="0052238F"/>
    <w:rsid w:val="0052268B"/>
    <w:rsid w:val="005235DC"/>
    <w:rsid w:val="00523F95"/>
    <w:rsid w:val="005241EF"/>
    <w:rsid w:val="00524922"/>
    <w:rsid w:val="00524AA2"/>
    <w:rsid w:val="00524D65"/>
    <w:rsid w:val="00525156"/>
    <w:rsid w:val="005256C6"/>
    <w:rsid w:val="00525A8A"/>
    <w:rsid w:val="00525B16"/>
    <w:rsid w:val="00526891"/>
    <w:rsid w:val="0052697B"/>
    <w:rsid w:val="00526D24"/>
    <w:rsid w:val="0052761D"/>
    <w:rsid w:val="00530877"/>
    <w:rsid w:val="00530ACD"/>
    <w:rsid w:val="00531812"/>
    <w:rsid w:val="00532560"/>
    <w:rsid w:val="00532624"/>
    <w:rsid w:val="00533162"/>
    <w:rsid w:val="00533364"/>
    <w:rsid w:val="00533C2A"/>
    <w:rsid w:val="00533D04"/>
    <w:rsid w:val="00533D8D"/>
    <w:rsid w:val="00534709"/>
    <w:rsid w:val="00534804"/>
    <w:rsid w:val="00534BDF"/>
    <w:rsid w:val="00534E01"/>
    <w:rsid w:val="00535186"/>
    <w:rsid w:val="00535277"/>
    <w:rsid w:val="005354EA"/>
    <w:rsid w:val="00535B7E"/>
    <w:rsid w:val="00535EC4"/>
    <w:rsid w:val="00535ED9"/>
    <w:rsid w:val="005365F3"/>
    <w:rsid w:val="0053692B"/>
    <w:rsid w:val="00536E3C"/>
    <w:rsid w:val="00536EC8"/>
    <w:rsid w:val="00537622"/>
    <w:rsid w:val="00537A23"/>
    <w:rsid w:val="00537CC7"/>
    <w:rsid w:val="005408F6"/>
    <w:rsid w:val="0054141F"/>
    <w:rsid w:val="00541853"/>
    <w:rsid w:val="005419C6"/>
    <w:rsid w:val="00541AA7"/>
    <w:rsid w:val="00541BEF"/>
    <w:rsid w:val="00542002"/>
    <w:rsid w:val="00542650"/>
    <w:rsid w:val="00542AA5"/>
    <w:rsid w:val="00542D42"/>
    <w:rsid w:val="00542D7D"/>
    <w:rsid w:val="005437F3"/>
    <w:rsid w:val="00543BDA"/>
    <w:rsid w:val="005441CC"/>
    <w:rsid w:val="00545BE2"/>
    <w:rsid w:val="00546197"/>
    <w:rsid w:val="005462DC"/>
    <w:rsid w:val="00546938"/>
    <w:rsid w:val="005474ED"/>
    <w:rsid w:val="00547663"/>
    <w:rsid w:val="00547716"/>
    <w:rsid w:val="0054778F"/>
    <w:rsid w:val="005479DA"/>
    <w:rsid w:val="00547BCC"/>
    <w:rsid w:val="0055013B"/>
    <w:rsid w:val="00551F6F"/>
    <w:rsid w:val="0055360C"/>
    <w:rsid w:val="00553CBF"/>
    <w:rsid w:val="00554496"/>
    <w:rsid w:val="00555044"/>
    <w:rsid w:val="005554AA"/>
    <w:rsid w:val="005573F4"/>
    <w:rsid w:val="0055753C"/>
    <w:rsid w:val="005579E9"/>
    <w:rsid w:val="00557C1B"/>
    <w:rsid w:val="00557E14"/>
    <w:rsid w:val="005600F2"/>
    <w:rsid w:val="005605D9"/>
    <w:rsid w:val="00561475"/>
    <w:rsid w:val="005618AA"/>
    <w:rsid w:val="005624C2"/>
    <w:rsid w:val="00562582"/>
    <w:rsid w:val="005627C2"/>
    <w:rsid w:val="00562945"/>
    <w:rsid w:val="00562D67"/>
    <w:rsid w:val="005640A8"/>
    <w:rsid w:val="0056487B"/>
    <w:rsid w:val="00564FB9"/>
    <w:rsid w:val="0056555F"/>
    <w:rsid w:val="00565F99"/>
    <w:rsid w:val="005666B7"/>
    <w:rsid w:val="005667F6"/>
    <w:rsid w:val="005668E3"/>
    <w:rsid w:val="00566A76"/>
    <w:rsid w:val="00566E08"/>
    <w:rsid w:val="0057001D"/>
    <w:rsid w:val="005704B4"/>
    <w:rsid w:val="00572FB3"/>
    <w:rsid w:val="0057332A"/>
    <w:rsid w:val="005735BC"/>
    <w:rsid w:val="005739DF"/>
    <w:rsid w:val="00573D9E"/>
    <w:rsid w:val="00573DBC"/>
    <w:rsid w:val="00573E2E"/>
    <w:rsid w:val="00574206"/>
    <w:rsid w:val="00575C13"/>
    <w:rsid w:val="00576108"/>
    <w:rsid w:val="00576406"/>
    <w:rsid w:val="005764E0"/>
    <w:rsid w:val="00577119"/>
    <w:rsid w:val="00577789"/>
    <w:rsid w:val="005801E3"/>
    <w:rsid w:val="00580DD2"/>
    <w:rsid w:val="00581802"/>
    <w:rsid w:val="00581C68"/>
    <w:rsid w:val="0058226B"/>
    <w:rsid w:val="005829FD"/>
    <w:rsid w:val="005836A8"/>
    <w:rsid w:val="0058409C"/>
    <w:rsid w:val="0058411F"/>
    <w:rsid w:val="00584262"/>
    <w:rsid w:val="00585A5D"/>
    <w:rsid w:val="00586630"/>
    <w:rsid w:val="00586E1B"/>
    <w:rsid w:val="005870B7"/>
    <w:rsid w:val="00587ADD"/>
    <w:rsid w:val="00590B36"/>
    <w:rsid w:val="00591B1E"/>
    <w:rsid w:val="00594028"/>
    <w:rsid w:val="0059537A"/>
    <w:rsid w:val="00596160"/>
    <w:rsid w:val="005966E2"/>
    <w:rsid w:val="00597007"/>
    <w:rsid w:val="0059715C"/>
    <w:rsid w:val="005A0966"/>
    <w:rsid w:val="005A11B7"/>
    <w:rsid w:val="005A14E5"/>
    <w:rsid w:val="005A162D"/>
    <w:rsid w:val="005A17CD"/>
    <w:rsid w:val="005A1ADD"/>
    <w:rsid w:val="005A1BFD"/>
    <w:rsid w:val="005A2454"/>
    <w:rsid w:val="005A260B"/>
    <w:rsid w:val="005A2E7E"/>
    <w:rsid w:val="005A31FA"/>
    <w:rsid w:val="005A39B7"/>
    <w:rsid w:val="005A3DAC"/>
    <w:rsid w:val="005A4989"/>
    <w:rsid w:val="005A4A1B"/>
    <w:rsid w:val="005A4C20"/>
    <w:rsid w:val="005A5B19"/>
    <w:rsid w:val="005A5DFF"/>
    <w:rsid w:val="005A6591"/>
    <w:rsid w:val="005A6C9B"/>
    <w:rsid w:val="005A7830"/>
    <w:rsid w:val="005A7F1E"/>
    <w:rsid w:val="005A7FCE"/>
    <w:rsid w:val="005B0F3F"/>
    <w:rsid w:val="005B17DB"/>
    <w:rsid w:val="005B2978"/>
    <w:rsid w:val="005B3645"/>
    <w:rsid w:val="005B3E29"/>
    <w:rsid w:val="005B47D1"/>
    <w:rsid w:val="005B48B8"/>
    <w:rsid w:val="005B4903"/>
    <w:rsid w:val="005B51CE"/>
    <w:rsid w:val="005B5885"/>
    <w:rsid w:val="005B5CD7"/>
    <w:rsid w:val="005B64E8"/>
    <w:rsid w:val="005B6CF6"/>
    <w:rsid w:val="005B72E6"/>
    <w:rsid w:val="005B7422"/>
    <w:rsid w:val="005B746F"/>
    <w:rsid w:val="005B76DC"/>
    <w:rsid w:val="005C0E40"/>
    <w:rsid w:val="005C141F"/>
    <w:rsid w:val="005C16CF"/>
    <w:rsid w:val="005C29B8"/>
    <w:rsid w:val="005C308F"/>
    <w:rsid w:val="005C30A2"/>
    <w:rsid w:val="005C3434"/>
    <w:rsid w:val="005C3DE7"/>
    <w:rsid w:val="005C3E3A"/>
    <w:rsid w:val="005C41E2"/>
    <w:rsid w:val="005C5F21"/>
    <w:rsid w:val="005C69CD"/>
    <w:rsid w:val="005C6A40"/>
    <w:rsid w:val="005C7156"/>
    <w:rsid w:val="005D05DA"/>
    <w:rsid w:val="005D0C75"/>
    <w:rsid w:val="005D1E63"/>
    <w:rsid w:val="005D355E"/>
    <w:rsid w:val="005D4171"/>
    <w:rsid w:val="005D4229"/>
    <w:rsid w:val="005D464A"/>
    <w:rsid w:val="005D4D74"/>
    <w:rsid w:val="005D4D7E"/>
    <w:rsid w:val="005D62F6"/>
    <w:rsid w:val="005D6A95"/>
    <w:rsid w:val="005D6B2C"/>
    <w:rsid w:val="005D6D9C"/>
    <w:rsid w:val="005E0B54"/>
    <w:rsid w:val="005E2335"/>
    <w:rsid w:val="005E2670"/>
    <w:rsid w:val="005E29A0"/>
    <w:rsid w:val="005E34CA"/>
    <w:rsid w:val="005E3AA5"/>
    <w:rsid w:val="005E3C0A"/>
    <w:rsid w:val="005E3C18"/>
    <w:rsid w:val="005E4C0F"/>
    <w:rsid w:val="005E59B8"/>
    <w:rsid w:val="005E5A9C"/>
    <w:rsid w:val="005E6318"/>
    <w:rsid w:val="005E64B6"/>
    <w:rsid w:val="005E6812"/>
    <w:rsid w:val="005E74DE"/>
    <w:rsid w:val="005E77B0"/>
    <w:rsid w:val="005E7829"/>
    <w:rsid w:val="005E7881"/>
    <w:rsid w:val="005E78E0"/>
    <w:rsid w:val="005F0D9C"/>
    <w:rsid w:val="005F284E"/>
    <w:rsid w:val="005F2911"/>
    <w:rsid w:val="005F4467"/>
    <w:rsid w:val="005F4AAB"/>
    <w:rsid w:val="005F561C"/>
    <w:rsid w:val="005F56C7"/>
    <w:rsid w:val="005F5F5B"/>
    <w:rsid w:val="005F6A28"/>
    <w:rsid w:val="005F7763"/>
    <w:rsid w:val="00600AF7"/>
    <w:rsid w:val="006015CE"/>
    <w:rsid w:val="006019EE"/>
    <w:rsid w:val="00601BB6"/>
    <w:rsid w:val="0060281D"/>
    <w:rsid w:val="00602FDE"/>
    <w:rsid w:val="006039AB"/>
    <w:rsid w:val="00604784"/>
    <w:rsid w:val="0060491B"/>
    <w:rsid w:val="00605973"/>
    <w:rsid w:val="00606419"/>
    <w:rsid w:val="00606E75"/>
    <w:rsid w:val="00607D29"/>
    <w:rsid w:val="00611DF3"/>
    <w:rsid w:val="00612081"/>
    <w:rsid w:val="00612952"/>
    <w:rsid w:val="00614CC1"/>
    <w:rsid w:val="006151F5"/>
    <w:rsid w:val="00615206"/>
    <w:rsid w:val="00615A9D"/>
    <w:rsid w:val="0061638A"/>
    <w:rsid w:val="006164FE"/>
    <w:rsid w:val="0061701E"/>
    <w:rsid w:val="00617387"/>
    <w:rsid w:val="00617929"/>
    <w:rsid w:val="00617FBD"/>
    <w:rsid w:val="006203A9"/>
    <w:rsid w:val="00620685"/>
    <w:rsid w:val="00620EE8"/>
    <w:rsid w:val="00621C61"/>
    <w:rsid w:val="00621DDC"/>
    <w:rsid w:val="00622155"/>
    <w:rsid w:val="00622E65"/>
    <w:rsid w:val="0062314A"/>
    <w:rsid w:val="00623385"/>
    <w:rsid w:val="0062377C"/>
    <w:rsid w:val="00623A06"/>
    <w:rsid w:val="0062449A"/>
    <w:rsid w:val="00625263"/>
    <w:rsid w:val="006252D8"/>
    <w:rsid w:val="006259BC"/>
    <w:rsid w:val="00625D0A"/>
    <w:rsid w:val="0062636B"/>
    <w:rsid w:val="006263D3"/>
    <w:rsid w:val="00626C8E"/>
    <w:rsid w:val="006270CB"/>
    <w:rsid w:val="0062742B"/>
    <w:rsid w:val="006309D7"/>
    <w:rsid w:val="00630FA3"/>
    <w:rsid w:val="00631743"/>
    <w:rsid w:val="00631C21"/>
    <w:rsid w:val="00632182"/>
    <w:rsid w:val="00632217"/>
    <w:rsid w:val="00632289"/>
    <w:rsid w:val="00632313"/>
    <w:rsid w:val="006323C2"/>
    <w:rsid w:val="006324DE"/>
    <w:rsid w:val="00632AE0"/>
    <w:rsid w:val="0063375E"/>
    <w:rsid w:val="00633C17"/>
    <w:rsid w:val="00635123"/>
    <w:rsid w:val="00636B45"/>
    <w:rsid w:val="00636E3E"/>
    <w:rsid w:val="00637136"/>
    <w:rsid w:val="006379F7"/>
    <w:rsid w:val="00637E4D"/>
    <w:rsid w:val="00640044"/>
    <w:rsid w:val="00640620"/>
    <w:rsid w:val="00640831"/>
    <w:rsid w:val="0064086C"/>
    <w:rsid w:val="00641A1F"/>
    <w:rsid w:val="00641E89"/>
    <w:rsid w:val="00643119"/>
    <w:rsid w:val="00643FF9"/>
    <w:rsid w:val="00644BDA"/>
    <w:rsid w:val="00644ED6"/>
    <w:rsid w:val="0064517E"/>
    <w:rsid w:val="0064528D"/>
    <w:rsid w:val="00645904"/>
    <w:rsid w:val="0064781D"/>
    <w:rsid w:val="00650B6B"/>
    <w:rsid w:val="006510FA"/>
    <w:rsid w:val="0065111C"/>
    <w:rsid w:val="0065120B"/>
    <w:rsid w:val="00651ACB"/>
    <w:rsid w:val="00651C47"/>
    <w:rsid w:val="00652AB2"/>
    <w:rsid w:val="00653F5B"/>
    <w:rsid w:val="00653F9B"/>
    <w:rsid w:val="006541DB"/>
    <w:rsid w:val="00654AD3"/>
    <w:rsid w:val="00654D3D"/>
    <w:rsid w:val="00654EC0"/>
    <w:rsid w:val="00654FEC"/>
    <w:rsid w:val="0065525B"/>
    <w:rsid w:val="00655D4F"/>
    <w:rsid w:val="00657B1E"/>
    <w:rsid w:val="00660273"/>
    <w:rsid w:val="00660A5A"/>
    <w:rsid w:val="006618A4"/>
    <w:rsid w:val="0066348A"/>
    <w:rsid w:val="00664040"/>
    <w:rsid w:val="006640E5"/>
    <w:rsid w:val="0066415D"/>
    <w:rsid w:val="006645E5"/>
    <w:rsid w:val="006646F1"/>
    <w:rsid w:val="00664929"/>
    <w:rsid w:val="00664D8D"/>
    <w:rsid w:val="00664E66"/>
    <w:rsid w:val="00664F62"/>
    <w:rsid w:val="0066532F"/>
    <w:rsid w:val="006655E1"/>
    <w:rsid w:val="00665D80"/>
    <w:rsid w:val="0066636C"/>
    <w:rsid w:val="00666946"/>
    <w:rsid w:val="00666B50"/>
    <w:rsid w:val="006707E5"/>
    <w:rsid w:val="00671877"/>
    <w:rsid w:val="00671C36"/>
    <w:rsid w:val="00672060"/>
    <w:rsid w:val="00672BFD"/>
    <w:rsid w:val="00672CC0"/>
    <w:rsid w:val="00675EBE"/>
    <w:rsid w:val="0067666A"/>
    <w:rsid w:val="00676B8B"/>
    <w:rsid w:val="006770F4"/>
    <w:rsid w:val="00677A84"/>
    <w:rsid w:val="0068026D"/>
    <w:rsid w:val="00680A27"/>
    <w:rsid w:val="00680A40"/>
    <w:rsid w:val="0068112F"/>
    <w:rsid w:val="006816A4"/>
    <w:rsid w:val="006817EE"/>
    <w:rsid w:val="00681829"/>
    <w:rsid w:val="006819B8"/>
    <w:rsid w:val="00681C5E"/>
    <w:rsid w:val="00681FD9"/>
    <w:rsid w:val="00682148"/>
    <w:rsid w:val="006834D1"/>
    <w:rsid w:val="00683723"/>
    <w:rsid w:val="00683AAE"/>
    <w:rsid w:val="00683BBE"/>
    <w:rsid w:val="006840A6"/>
    <w:rsid w:val="006843F9"/>
    <w:rsid w:val="006850CD"/>
    <w:rsid w:val="00685AAB"/>
    <w:rsid w:val="00685C51"/>
    <w:rsid w:val="00686053"/>
    <w:rsid w:val="00686748"/>
    <w:rsid w:val="006876A0"/>
    <w:rsid w:val="00690E10"/>
    <w:rsid w:val="00690E4C"/>
    <w:rsid w:val="00691567"/>
    <w:rsid w:val="00691CEB"/>
    <w:rsid w:val="0069201C"/>
    <w:rsid w:val="0069217C"/>
    <w:rsid w:val="0069386C"/>
    <w:rsid w:val="00693A31"/>
    <w:rsid w:val="006958EE"/>
    <w:rsid w:val="00695C29"/>
    <w:rsid w:val="00695F71"/>
    <w:rsid w:val="0069648A"/>
    <w:rsid w:val="00697919"/>
    <w:rsid w:val="006A07AA"/>
    <w:rsid w:val="006A07FA"/>
    <w:rsid w:val="006A14D8"/>
    <w:rsid w:val="006A163A"/>
    <w:rsid w:val="006A1834"/>
    <w:rsid w:val="006A25E5"/>
    <w:rsid w:val="006A261B"/>
    <w:rsid w:val="006A2906"/>
    <w:rsid w:val="006A2B46"/>
    <w:rsid w:val="006A336D"/>
    <w:rsid w:val="006A37B9"/>
    <w:rsid w:val="006A37F2"/>
    <w:rsid w:val="006A3E76"/>
    <w:rsid w:val="006A40F2"/>
    <w:rsid w:val="006A49FB"/>
    <w:rsid w:val="006A575D"/>
    <w:rsid w:val="006A603C"/>
    <w:rsid w:val="006A6429"/>
    <w:rsid w:val="006A7EC8"/>
    <w:rsid w:val="006B1F8B"/>
    <w:rsid w:val="006B2672"/>
    <w:rsid w:val="006B4A38"/>
    <w:rsid w:val="006B4DD9"/>
    <w:rsid w:val="006B53EE"/>
    <w:rsid w:val="006B54BF"/>
    <w:rsid w:val="006B5E85"/>
    <w:rsid w:val="006B5F44"/>
    <w:rsid w:val="006B5F90"/>
    <w:rsid w:val="006B60C6"/>
    <w:rsid w:val="006B62E4"/>
    <w:rsid w:val="006B6575"/>
    <w:rsid w:val="006B7562"/>
    <w:rsid w:val="006B79AB"/>
    <w:rsid w:val="006B7D8D"/>
    <w:rsid w:val="006C0B2D"/>
    <w:rsid w:val="006C184E"/>
    <w:rsid w:val="006C1BBA"/>
    <w:rsid w:val="006C2079"/>
    <w:rsid w:val="006C2230"/>
    <w:rsid w:val="006C26A2"/>
    <w:rsid w:val="006C2820"/>
    <w:rsid w:val="006C2C54"/>
    <w:rsid w:val="006C2E61"/>
    <w:rsid w:val="006C317D"/>
    <w:rsid w:val="006C4317"/>
    <w:rsid w:val="006C44C4"/>
    <w:rsid w:val="006C5192"/>
    <w:rsid w:val="006C56FE"/>
    <w:rsid w:val="006C5A62"/>
    <w:rsid w:val="006C5D68"/>
    <w:rsid w:val="006C60C0"/>
    <w:rsid w:val="006C6832"/>
    <w:rsid w:val="006C6976"/>
    <w:rsid w:val="006C6BE1"/>
    <w:rsid w:val="006C6C40"/>
    <w:rsid w:val="006C6C48"/>
    <w:rsid w:val="006C6DD0"/>
    <w:rsid w:val="006C7996"/>
    <w:rsid w:val="006D04EA"/>
    <w:rsid w:val="006D0D09"/>
    <w:rsid w:val="006D16C4"/>
    <w:rsid w:val="006D3977"/>
    <w:rsid w:val="006D3E96"/>
    <w:rsid w:val="006D4515"/>
    <w:rsid w:val="006D4908"/>
    <w:rsid w:val="006D4B19"/>
    <w:rsid w:val="006D4BB1"/>
    <w:rsid w:val="006D5E1A"/>
    <w:rsid w:val="006D6593"/>
    <w:rsid w:val="006D686E"/>
    <w:rsid w:val="006D68A2"/>
    <w:rsid w:val="006E0A85"/>
    <w:rsid w:val="006E18F1"/>
    <w:rsid w:val="006E1962"/>
    <w:rsid w:val="006E296E"/>
    <w:rsid w:val="006E491E"/>
    <w:rsid w:val="006E582B"/>
    <w:rsid w:val="006E6243"/>
    <w:rsid w:val="006E7798"/>
    <w:rsid w:val="006F03A8"/>
    <w:rsid w:val="006F0C21"/>
    <w:rsid w:val="006F0F7F"/>
    <w:rsid w:val="006F126C"/>
    <w:rsid w:val="006F26E4"/>
    <w:rsid w:val="006F2ACA"/>
    <w:rsid w:val="006F2ADC"/>
    <w:rsid w:val="006F2BFE"/>
    <w:rsid w:val="006F31E9"/>
    <w:rsid w:val="006F36A1"/>
    <w:rsid w:val="006F41DF"/>
    <w:rsid w:val="006F4219"/>
    <w:rsid w:val="006F4B48"/>
    <w:rsid w:val="006F5277"/>
    <w:rsid w:val="006F56E5"/>
    <w:rsid w:val="006F6284"/>
    <w:rsid w:val="006F69EA"/>
    <w:rsid w:val="006F6A34"/>
    <w:rsid w:val="006F7500"/>
    <w:rsid w:val="006F779B"/>
    <w:rsid w:val="006F7CB1"/>
    <w:rsid w:val="0070022B"/>
    <w:rsid w:val="007002C5"/>
    <w:rsid w:val="00700D35"/>
    <w:rsid w:val="00701870"/>
    <w:rsid w:val="00702DC5"/>
    <w:rsid w:val="0070348B"/>
    <w:rsid w:val="007034EF"/>
    <w:rsid w:val="00703835"/>
    <w:rsid w:val="00704387"/>
    <w:rsid w:val="00704439"/>
    <w:rsid w:val="0070514B"/>
    <w:rsid w:val="0070528B"/>
    <w:rsid w:val="00705A06"/>
    <w:rsid w:val="007063FB"/>
    <w:rsid w:val="00707521"/>
    <w:rsid w:val="00707669"/>
    <w:rsid w:val="007106E5"/>
    <w:rsid w:val="0071081D"/>
    <w:rsid w:val="007113B1"/>
    <w:rsid w:val="00711B73"/>
    <w:rsid w:val="00711CBA"/>
    <w:rsid w:val="00711FB5"/>
    <w:rsid w:val="00712029"/>
    <w:rsid w:val="007129A4"/>
    <w:rsid w:val="00712A01"/>
    <w:rsid w:val="00713439"/>
    <w:rsid w:val="00713D9F"/>
    <w:rsid w:val="00714288"/>
    <w:rsid w:val="0071454C"/>
    <w:rsid w:val="00714B9A"/>
    <w:rsid w:val="00714F58"/>
    <w:rsid w:val="007152E9"/>
    <w:rsid w:val="0071534C"/>
    <w:rsid w:val="00716B0C"/>
    <w:rsid w:val="00716FA6"/>
    <w:rsid w:val="00717313"/>
    <w:rsid w:val="00721329"/>
    <w:rsid w:val="0072243C"/>
    <w:rsid w:val="00722772"/>
    <w:rsid w:val="00722FBF"/>
    <w:rsid w:val="00722FC2"/>
    <w:rsid w:val="0072342E"/>
    <w:rsid w:val="00724607"/>
    <w:rsid w:val="00725296"/>
    <w:rsid w:val="00725365"/>
    <w:rsid w:val="00725949"/>
    <w:rsid w:val="00726AE2"/>
    <w:rsid w:val="0072736E"/>
    <w:rsid w:val="00727FA2"/>
    <w:rsid w:val="007301EE"/>
    <w:rsid w:val="007302A5"/>
    <w:rsid w:val="0073064A"/>
    <w:rsid w:val="00731365"/>
    <w:rsid w:val="0073155A"/>
    <w:rsid w:val="00731F8C"/>
    <w:rsid w:val="007322D9"/>
    <w:rsid w:val="00732BC0"/>
    <w:rsid w:val="00732F4E"/>
    <w:rsid w:val="00733B54"/>
    <w:rsid w:val="007348BD"/>
    <w:rsid w:val="007350F4"/>
    <w:rsid w:val="00735BB2"/>
    <w:rsid w:val="0073639E"/>
    <w:rsid w:val="00736A73"/>
    <w:rsid w:val="00736AAB"/>
    <w:rsid w:val="00736CEE"/>
    <w:rsid w:val="0073720F"/>
    <w:rsid w:val="00737255"/>
    <w:rsid w:val="00737796"/>
    <w:rsid w:val="00740306"/>
    <w:rsid w:val="0074165C"/>
    <w:rsid w:val="00741DE5"/>
    <w:rsid w:val="00742358"/>
    <w:rsid w:val="0074250F"/>
    <w:rsid w:val="0074284B"/>
    <w:rsid w:val="00742C35"/>
    <w:rsid w:val="00743115"/>
    <w:rsid w:val="007432CA"/>
    <w:rsid w:val="00743761"/>
    <w:rsid w:val="007439EB"/>
    <w:rsid w:val="00743CB4"/>
    <w:rsid w:val="00743F0A"/>
    <w:rsid w:val="007444E8"/>
    <w:rsid w:val="00744C62"/>
    <w:rsid w:val="0074548E"/>
    <w:rsid w:val="007456F6"/>
    <w:rsid w:val="00745773"/>
    <w:rsid w:val="00745CD9"/>
    <w:rsid w:val="00746800"/>
    <w:rsid w:val="007469BF"/>
    <w:rsid w:val="0074733F"/>
    <w:rsid w:val="00747CF0"/>
    <w:rsid w:val="00747EF2"/>
    <w:rsid w:val="00747F73"/>
    <w:rsid w:val="007501A8"/>
    <w:rsid w:val="007502CE"/>
    <w:rsid w:val="00750EE1"/>
    <w:rsid w:val="007515A6"/>
    <w:rsid w:val="00751912"/>
    <w:rsid w:val="00752146"/>
    <w:rsid w:val="00752B4D"/>
    <w:rsid w:val="00753B29"/>
    <w:rsid w:val="00754704"/>
    <w:rsid w:val="007553E8"/>
    <w:rsid w:val="00755402"/>
    <w:rsid w:val="00755C6A"/>
    <w:rsid w:val="00756629"/>
    <w:rsid w:val="00756B26"/>
    <w:rsid w:val="00756D91"/>
    <w:rsid w:val="00756EDF"/>
    <w:rsid w:val="00757431"/>
    <w:rsid w:val="00760468"/>
    <w:rsid w:val="00760580"/>
    <w:rsid w:val="00760B5F"/>
    <w:rsid w:val="00760E61"/>
    <w:rsid w:val="0076211E"/>
    <w:rsid w:val="0076333D"/>
    <w:rsid w:val="0076426B"/>
    <w:rsid w:val="00765748"/>
    <w:rsid w:val="00765822"/>
    <w:rsid w:val="00765C43"/>
    <w:rsid w:val="00765EFB"/>
    <w:rsid w:val="007671CA"/>
    <w:rsid w:val="0076744F"/>
    <w:rsid w:val="00767C61"/>
    <w:rsid w:val="00767F6F"/>
    <w:rsid w:val="0077008A"/>
    <w:rsid w:val="00770B37"/>
    <w:rsid w:val="007722FC"/>
    <w:rsid w:val="00773036"/>
    <w:rsid w:val="0077315B"/>
    <w:rsid w:val="00773C1F"/>
    <w:rsid w:val="0077411C"/>
    <w:rsid w:val="00774189"/>
    <w:rsid w:val="00774DA4"/>
    <w:rsid w:val="00775C92"/>
    <w:rsid w:val="00776599"/>
    <w:rsid w:val="007766C0"/>
    <w:rsid w:val="0077715F"/>
    <w:rsid w:val="007776B7"/>
    <w:rsid w:val="00777DAF"/>
    <w:rsid w:val="00780375"/>
    <w:rsid w:val="00780EC0"/>
    <w:rsid w:val="0078114B"/>
    <w:rsid w:val="00781DD2"/>
    <w:rsid w:val="00781E90"/>
    <w:rsid w:val="00781EA6"/>
    <w:rsid w:val="00783ECF"/>
    <w:rsid w:val="007840AE"/>
    <w:rsid w:val="0078413A"/>
    <w:rsid w:val="00784408"/>
    <w:rsid w:val="00784A7A"/>
    <w:rsid w:val="00785BA2"/>
    <w:rsid w:val="007860D6"/>
    <w:rsid w:val="0078675D"/>
    <w:rsid w:val="0078714F"/>
    <w:rsid w:val="00787CA3"/>
    <w:rsid w:val="0079002F"/>
    <w:rsid w:val="00790043"/>
    <w:rsid w:val="007901B7"/>
    <w:rsid w:val="0079085A"/>
    <w:rsid w:val="007910CF"/>
    <w:rsid w:val="0079207D"/>
    <w:rsid w:val="00793AC3"/>
    <w:rsid w:val="00793EC6"/>
    <w:rsid w:val="007949B9"/>
    <w:rsid w:val="00794C1E"/>
    <w:rsid w:val="0079546F"/>
    <w:rsid w:val="00795531"/>
    <w:rsid w:val="007959E8"/>
    <w:rsid w:val="00795E9C"/>
    <w:rsid w:val="00796918"/>
    <w:rsid w:val="00796FD6"/>
    <w:rsid w:val="00797E47"/>
    <w:rsid w:val="007A0044"/>
    <w:rsid w:val="007A0521"/>
    <w:rsid w:val="007A1D19"/>
    <w:rsid w:val="007A1D5C"/>
    <w:rsid w:val="007A2E12"/>
    <w:rsid w:val="007A3475"/>
    <w:rsid w:val="007A41C8"/>
    <w:rsid w:val="007A43B8"/>
    <w:rsid w:val="007A4AD7"/>
    <w:rsid w:val="007A4C41"/>
    <w:rsid w:val="007A54CE"/>
    <w:rsid w:val="007A55CE"/>
    <w:rsid w:val="007A5EFD"/>
    <w:rsid w:val="007A607D"/>
    <w:rsid w:val="007A6343"/>
    <w:rsid w:val="007A6A09"/>
    <w:rsid w:val="007A6FD9"/>
    <w:rsid w:val="007A7D69"/>
    <w:rsid w:val="007A7FFA"/>
    <w:rsid w:val="007B04EB"/>
    <w:rsid w:val="007B0CDA"/>
    <w:rsid w:val="007B0D4F"/>
    <w:rsid w:val="007B10DE"/>
    <w:rsid w:val="007B257A"/>
    <w:rsid w:val="007B2904"/>
    <w:rsid w:val="007B2CD6"/>
    <w:rsid w:val="007B30C6"/>
    <w:rsid w:val="007B3AF7"/>
    <w:rsid w:val="007B4A82"/>
    <w:rsid w:val="007B56B9"/>
    <w:rsid w:val="007B57CC"/>
    <w:rsid w:val="007B5A3D"/>
    <w:rsid w:val="007B5B95"/>
    <w:rsid w:val="007B5EFB"/>
    <w:rsid w:val="007B608E"/>
    <w:rsid w:val="007B68EA"/>
    <w:rsid w:val="007B7453"/>
    <w:rsid w:val="007B751D"/>
    <w:rsid w:val="007B7EEA"/>
    <w:rsid w:val="007C079E"/>
    <w:rsid w:val="007C1B0A"/>
    <w:rsid w:val="007C26FE"/>
    <w:rsid w:val="007C2D89"/>
    <w:rsid w:val="007C2DDF"/>
    <w:rsid w:val="007C2EAD"/>
    <w:rsid w:val="007C3B4A"/>
    <w:rsid w:val="007C4593"/>
    <w:rsid w:val="007C5309"/>
    <w:rsid w:val="007C5D2C"/>
    <w:rsid w:val="007C5DC4"/>
    <w:rsid w:val="007C6069"/>
    <w:rsid w:val="007C613D"/>
    <w:rsid w:val="007D0549"/>
    <w:rsid w:val="007D06C4"/>
    <w:rsid w:val="007D1107"/>
    <w:rsid w:val="007D1352"/>
    <w:rsid w:val="007D139E"/>
    <w:rsid w:val="007D1820"/>
    <w:rsid w:val="007D1D3B"/>
    <w:rsid w:val="007D2508"/>
    <w:rsid w:val="007D2EA3"/>
    <w:rsid w:val="007D3465"/>
    <w:rsid w:val="007D346A"/>
    <w:rsid w:val="007D3E76"/>
    <w:rsid w:val="007D4641"/>
    <w:rsid w:val="007D4814"/>
    <w:rsid w:val="007D6518"/>
    <w:rsid w:val="007D6A03"/>
    <w:rsid w:val="007D76BD"/>
    <w:rsid w:val="007D77D1"/>
    <w:rsid w:val="007D7991"/>
    <w:rsid w:val="007E099C"/>
    <w:rsid w:val="007E0BF1"/>
    <w:rsid w:val="007E0E2C"/>
    <w:rsid w:val="007E1A45"/>
    <w:rsid w:val="007E1D4E"/>
    <w:rsid w:val="007E258B"/>
    <w:rsid w:val="007E2F7A"/>
    <w:rsid w:val="007E35A4"/>
    <w:rsid w:val="007E4CE4"/>
    <w:rsid w:val="007E524A"/>
    <w:rsid w:val="007E5367"/>
    <w:rsid w:val="007E552E"/>
    <w:rsid w:val="007E600A"/>
    <w:rsid w:val="007E6012"/>
    <w:rsid w:val="007E6452"/>
    <w:rsid w:val="007E6FA5"/>
    <w:rsid w:val="007E7421"/>
    <w:rsid w:val="007E7824"/>
    <w:rsid w:val="007F0ED8"/>
    <w:rsid w:val="007F0F63"/>
    <w:rsid w:val="007F10AD"/>
    <w:rsid w:val="007F226D"/>
    <w:rsid w:val="007F2327"/>
    <w:rsid w:val="007F24AC"/>
    <w:rsid w:val="007F31F4"/>
    <w:rsid w:val="007F3748"/>
    <w:rsid w:val="007F3B4B"/>
    <w:rsid w:val="007F4573"/>
    <w:rsid w:val="007F45F5"/>
    <w:rsid w:val="007F4ACD"/>
    <w:rsid w:val="007F4BA4"/>
    <w:rsid w:val="007F4C0F"/>
    <w:rsid w:val="007F5181"/>
    <w:rsid w:val="007F547F"/>
    <w:rsid w:val="007F54CE"/>
    <w:rsid w:val="007F5A38"/>
    <w:rsid w:val="007F75CE"/>
    <w:rsid w:val="007F788A"/>
    <w:rsid w:val="007F7B81"/>
    <w:rsid w:val="007F7D57"/>
    <w:rsid w:val="00800DCD"/>
    <w:rsid w:val="0080122E"/>
    <w:rsid w:val="008013A4"/>
    <w:rsid w:val="00801B5B"/>
    <w:rsid w:val="00802427"/>
    <w:rsid w:val="008027CE"/>
    <w:rsid w:val="00802AD6"/>
    <w:rsid w:val="00802F42"/>
    <w:rsid w:val="00803038"/>
    <w:rsid w:val="0080386E"/>
    <w:rsid w:val="00804383"/>
    <w:rsid w:val="00804541"/>
    <w:rsid w:val="008045B1"/>
    <w:rsid w:val="00804BB7"/>
    <w:rsid w:val="008063A6"/>
    <w:rsid w:val="00807C8E"/>
    <w:rsid w:val="00810257"/>
    <w:rsid w:val="008104F5"/>
    <w:rsid w:val="00810C94"/>
    <w:rsid w:val="00811072"/>
    <w:rsid w:val="00811369"/>
    <w:rsid w:val="00811667"/>
    <w:rsid w:val="00811FF2"/>
    <w:rsid w:val="00813DF4"/>
    <w:rsid w:val="00814173"/>
    <w:rsid w:val="0081529D"/>
    <w:rsid w:val="00815419"/>
    <w:rsid w:val="008155B0"/>
    <w:rsid w:val="00815B43"/>
    <w:rsid w:val="008163C8"/>
    <w:rsid w:val="008164A1"/>
    <w:rsid w:val="00816D6E"/>
    <w:rsid w:val="00817325"/>
    <w:rsid w:val="008209E6"/>
    <w:rsid w:val="00821628"/>
    <w:rsid w:val="0082262A"/>
    <w:rsid w:val="00822F2E"/>
    <w:rsid w:val="00823303"/>
    <w:rsid w:val="008233B2"/>
    <w:rsid w:val="00823A9F"/>
    <w:rsid w:val="00823C85"/>
    <w:rsid w:val="008245C8"/>
    <w:rsid w:val="00824E65"/>
    <w:rsid w:val="00825138"/>
    <w:rsid w:val="00825310"/>
    <w:rsid w:val="008269DD"/>
    <w:rsid w:val="008276BA"/>
    <w:rsid w:val="0083022D"/>
    <w:rsid w:val="00830621"/>
    <w:rsid w:val="00831550"/>
    <w:rsid w:val="0083196B"/>
    <w:rsid w:val="008322BB"/>
    <w:rsid w:val="00832C51"/>
    <w:rsid w:val="0083348C"/>
    <w:rsid w:val="008335C6"/>
    <w:rsid w:val="00833613"/>
    <w:rsid w:val="00833FDA"/>
    <w:rsid w:val="00835160"/>
    <w:rsid w:val="00835FC0"/>
    <w:rsid w:val="008373D3"/>
    <w:rsid w:val="008374F1"/>
    <w:rsid w:val="00840080"/>
    <w:rsid w:val="00840437"/>
    <w:rsid w:val="00840617"/>
    <w:rsid w:val="0084089C"/>
    <w:rsid w:val="00841FB0"/>
    <w:rsid w:val="008423C5"/>
    <w:rsid w:val="00842A47"/>
    <w:rsid w:val="008438F1"/>
    <w:rsid w:val="00843C13"/>
    <w:rsid w:val="00843CCB"/>
    <w:rsid w:val="008452B8"/>
    <w:rsid w:val="008454F8"/>
    <w:rsid w:val="0084612A"/>
    <w:rsid w:val="00846AC8"/>
    <w:rsid w:val="00846B51"/>
    <w:rsid w:val="00846DFF"/>
    <w:rsid w:val="008471D7"/>
    <w:rsid w:val="00847B56"/>
    <w:rsid w:val="0085098B"/>
    <w:rsid w:val="0085155C"/>
    <w:rsid w:val="008516B3"/>
    <w:rsid w:val="00851738"/>
    <w:rsid w:val="0085173A"/>
    <w:rsid w:val="008517AF"/>
    <w:rsid w:val="008517CC"/>
    <w:rsid w:val="00852D26"/>
    <w:rsid w:val="00854343"/>
    <w:rsid w:val="00854D12"/>
    <w:rsid w:val="00855DE7"/>
    <w:rsid w:val="0085721F"/>
    <w:rsid w:val="008572D2"/>
    <w:rsid w:val="008573BC"/>
    <w:rsid w:val="00860297"/>
    <w:rsid w:val="008603CE"/>
    <w:rsid w:val="00860B90"/>
    <w:rsid w:val="00860E71"/>
    <w:rsid w:val="00860F31"/>
    <w:rsid w:val="0086154B"/>
    <w:rsid w:val="008616E1"/>
    <w:rsid w:val="00861C53"/>
    <w:rsid w:val="00861D6E"/>
    <w:rsid w:val="008620FC"/>
    <w:rsid w:val="0086214F"/>
    <w:rsid w:val="008625EF"/>
    <w:rsid w:val="00862621"/>
    <w:rsid w:val="008627A5"/>
    <w:rsid w:val="00862A0D"/>
    <w:rsid w:val="008638D4"/>
    <w:rsid w:val="00863C36"/>
    <w:rsid w:val="00863E05"/>
    <w:rsid w:val="00863EB2"/>
    <w:rsid w:val="0086431E"/>
    <w:rsid w:val="00864E11"/>
    <w:rsid w:val="00864EAF"/>
    <w:rsid w:val="00865ACA"/>
    <w:rsid w:val="00865D28"/>
    <w:rsid w:val="00865F85"/>
    <w:rsid w:val="00865FEB"/>
    <w:rsid w:val="00867C10"/>
    <w:rsid w:val="00870439"/>
    <w:rsid w:val="0087087E"/>
    <w:rsid w:val="00870DA1"/>
    <w:rsid w:val="00870E86"/>
    <w:rsid w:val="00870F05"/>
    <w:rsid w:val="00871BBD"/>
    <w:rsid w:val="00872A49"/>
    <w:rsid w:val="00872FE0"/>
    <w:rsid w:val="00873FDF"/>
    <w:rsid w:val="00874BF9"/>
    <w:rsid w:val="00874CC5"/>
    <w:rsid w:val="0087570A"/>
    <w:rsid w:val="00875BAA"/>
    <w:rsid w:val="00876678"/>
    <w:rsid w:val="00877B52"/>
    <w:rsid w:val="008801AA"/>
    <w:rsid w:val="008812D4"/>
    <w:rsid w:val="0088291F"/>
    <w:rsid w:val="00883BAD"/>
    <w:rsid w:val="00883DDD"/>
    <w:rsid w:val="00883F93"/>
    <w:rsid w:val="0088479B"/>
    <w:rsid w:val="00884A53"/>
    <w:rsid w:val="00884DB3"/>
    <w:rsid w:val="00885940"/>
    <w:rsid w:val="00885A9D"/>
    <w:rsid w:val="008864F6"/>
    <w:rsid w:val="0089049D"/>
    <w:rsid w:val="00890644"/>
    <w:rsid w:val="008920C0"/>
    <w:rsid w:val="0089216E"/>
    <w:rsid w:val="008928C9"/>
    <w:rsid w:val="008938DC"/>
    <w:rsid w:val="00893FD1"/>
    <w:rsid w:val="00894304"/>
    <w:rsid w:val="00894836"/>
    <w:rsid w:val="00894A1C"/>
    <w:rsid w:val="00895172"/>
    <w:rsid w:val="008953BD"/>
    <w:rsid w:val="00895479"/>
    <w:rsid w:val="0089553F"/>
    <w:rsid w:val="0089563F"/>
    <w:rsid w:val="00895680"/>
    <w:rsid w:val="00896DFF"/>
    <w:rsid w:val="008972D2"/>
    <w:rsid w:val="00897428"/>
    <w:rsid w:val="0089762C"/>
    <w:rsid w:val="0089787D"/>
    <w:rsid w:val="008A1893"/>
    <w:rsid w:val="008A197D"/>
    <w:rsid w:val="008A1F29"/>
    <w:rsid w:val="008A2B6D"/>
    <w:rsid w:val="008A32BF"/>
    <w:rsid w:val="008A51BD"/>
    <w:rsid w:val="008A5533"/>
    <w:rsid w:val="008A5689"/>
    <w:rsid w:val="008A6544"/>
    <w:rsid w:val="008A6696"/>
    <w:rsid w:val="008A68B5"/>
    <w:rsid w:val="008A75A7"/>
    <w:rsid w:val="008A769A"/>
    <w:rsid w:val="008B02C0"/>
    <w:rsid w:val="008B0C0C"/>
    <w:rsid w:val="008B0C9C"/>
    <w:rsid w:val="008B0D47"/>
    <w:rsid w:val="008B166D"/>
    <w:rsid w:val="008B17CB"/>
    <w:rsid w:val="008B17F4"/>
    <w:rsid w:val="008B235B"/>
    <w:rsid w:val="008B2BA5"/>
    <w:rsid w:val="008B3615"/>
    <w:rsid w:val="008B3A18"/>
    <w:rsid w:val="008B4AC4"/>
    <w:rsid w:val="008B50C8"/>
    <w:rsid w:val="008B5281"/>
    <w:rsid w:val="008B5566"/>
    <w:rsid w:val="008B6277"/>
    <w:rsid w:val="008B7DE1"/>
    <w:rsid w:val="008B7E05"/>
    <w:rsid w:val="008C0957"/>
    <w:rsid w:val="008C115A"/>
    <w:rsid w:val="008C1797"/>
    <w:rsid w:val="008C1FA9"/>
    <w:rsid w:val="008C2149"/>
    <w:rsid w:val="008C219C"/>
    <w:rsid w:val="008C24D4"/>
    <w:rsid w:val="008C3808"/>
    <w:rsid w:val="008C38A2"/>
    <w:rsid w:val="008C3C0C"/>
    <w:rsid w:val="008C475E"/>
    <w:rsid w:val="008C4767"/>
    <w:rsid w:val="008C4B15"/>
    <w:rsid w:val="008C5D99"/>
    <w:rsid w:val="008C619A"/>
    <w:rsid w:val="008C6826"/>
    <w:rsid w:val="008C6A1F"/>
    <w:rsid w:val="008C7781"/>
    <w:rsid w:val="008C7EF0"/>
    <w:rsid w:val="008D00BD"/>
    <w:rsid w:val="008D081D"/>
    <w:rsid w:val="008D0CE8"/>
    <w:rsid w:val="008D12C0"/>
    <w:rsid w:val="008D13E6"/>
    <w:rsid w:val="008D1C5D"/>
    <w:rsid w:val="008D2D1D"/>
    <w:rsid w:val="008D2DAD"/>
    <w:rsid w:val="008D3B43"/>
    <w:rsid w:val="008D453D"/>
    <w:rsid w:val="008D4583"/>
    <w:rsid w:val="008D53AD"/>
    <w:rsid w:val="008D562B"/>
    <w:rsid w:val="008D5733"/>
    <w:rsid w:val="008D5B89"/>
    <w:rsid w:val="008D5E24"/>
    <w:rsid w:val="008D61E2"/>
    <w:rsid w:val="008D622B"/>
    <w:rsid w:val="008D666C"/>
    <w:rsid w:val="008D6E88"/>
    <w:rsid w:val="008D7B54"/>
    <w:rsid w:val="008D7EA9"/>
    <w:rsid w:val="008E0C4B"/>
    <w:rsid w:val="008E0C9D"/>
    <w:rsid w:val="008E1648"/>
    <w:rsid w:val="008E1B3E"/>
    <w:rsid w:val="008E2319"/>
    <w:rsid w:val="008E275D"/>
    <w:rsid w:val="008E31D5"/>
    <w:rsid w:val="008E3330"/>
    <w:rsid w:val="008E3E9F"/>
    <w:rsid w:val="008E4BB6"/>
    <w:rsid w:val="008E5518"/>
    <w:rsid w:val="008E6143"/>
    <w:rsid w:val="008E6A84"/>
    <w:rsid w:val="008E74F4"/>
    <w:rsid w:val="008E7D68"/>
    <w:rsid w:val="008F09F6"/>
    <w:rsid w:val="008F0CDC"/>
    <w:rsid w:val="008F11C8"/>
    <w:rsid w:val="008F11F6"/>
    <w:rsid w:val="008F17A3"/>
    <w:rsid w:val="008F1ED3"/>
    <w:rsid w:val="008F2442"/>
    <w:rsid w:val="008F3489"/>
    <w:rsid w:val="008F34BA"/>
    <w:rsid w:val="008F38B8"/>
    <w:rsid w:val="008F4174"/>
    <w:rsid w:val="008F4331"/>
    <w:rsid w:val="008F4C29"/>
    <w:rsid w:val="008F6CA0"/>
    <w:rsid w:val="008F6EDD"/>
    <w:rsid w:val="008F70BD"/>
    <w:rsid w:val="008F788F"/>
    <w:rsid w:val="008F7EA2"/>
    <w:rsid w:val="0090066E"/>
    <w:rsid w:val="00901204"/>
    <w:rsid w:val="009012A0"/>
    <w:rsid w:val="00901C75"/>
    <w:rsid w:val="00901D10"/>
    <w:rsid w:val="00902722"/>
    <w:rsid w:val="009027BC"/>
    <w:rsid w:val="009031EA"/>
    <w:rsid w:val="009039F7"/>
    <w:rsid w:val="00904C0E"/>
    <w:rsid w:val="00905E84"/>
    <w:rsid w:val="009062E6"/>
    <w:rsid w:val="00906655"/>
    <w:rsid w:val="0090677B"/>
    <w:rsid w:val="00906E96"/>
    <w:rsid w:val="00907074"/>
    <w:rsid w:val="009072E0"/>
    <w:rsid w:val="00907587"/>
    <w:rsid w:val="00910380"/>
    <w:rsid w:val="00911660"/>
    <w:rsid w:val="00911BE5"/>
    <w:rsid w:val="00913214"/>
    <w:rsid w:val="00913BE6"/>
    <w:rsid w:val="00913CA9"/>
    <w:rsid w:val="009140E3"/>
    <w:rsid w:val="009145AE"/>
    <w:rsid w:val="009146CE"/>
    <w:rsid w:val="00914CA7"/>
    <w:rsid w:val="00914D8E"/>
    <w:rsid w:val="00914F31"/>
    <w:rsid w:val="009156DF"/>
    <w:rsid w:val="00915A8F"/>
    <w:rsid w:val="00915C3E"/>
    <w:rsid w:val="00916056"/>
    <w:rsid w:val="009161A8"/>
    <w:rsid w:val="009164F8"/>
    <w:rsid w:val="009169FD"/>
    <w:rsid w:val="00916D9C"/>
    <w:rsid w:val="009171E1"/>
    <w:rsid w:val="009173E1"/>
    <w:rsid w:val="00917AC3"/>
    <w:rsid w:val="00917B42"/>
    <w:rsid w:val="00917B8D"/>
    <w:rsid w:val="00917E73"/>
    <w:rsid w:val="00920AA8"/>
    <w:rsid w:val="00922B42"/>
    <w:rsid w:val="0092371D"/>
    <w:rsid w:val="00923A63"/>
    <w:rsid w:val="00923D56"/>
    <w:rsid w:val="009241AE"/>
    <w:rsid w:val="0092443A"/>
    <w:rsid w:val="009245F5"/>
    <w:rsid w:val="0092469C"/>
    <w:rsid w:val="009249EC"/>
    <w:rsid w:val="0092582C"/>
    <w:rsid w:val="009273B3"/>
    <w:rsid w:val="00927530"/>
    <w:rsid w:val="0092774F"/>
    <w:rsid w:val="00927938"/>
    <w:rsid w:val="00927C08"/>
    <w:rsid w:val="009305B5"/>
    <w:rsid w:val="00930AFA"/>
    <w:rsid w:val="0093159D"/>
    <w:rsid w:val="00932D25"/>
    <w:rsid w:val="009331FB"/>
    <w:rsid w:val="00934746"/>
    <w:rsid w:val="00936444"/>
    <w:rsid w:val="00936E0B"/>
    <w:rsid w:val="00937218"/>
    <w:rsid w:val="00937473"/>
    <w:rsid w:val="0093788A"/>
    <w:rsid w:val="00937D49"/>
    <w:rsid w:val="0094056C"/>
    <w:rsid w:val="00940E7D"/>
    <w:rsid w:val="00941374"/>
    <w:rsid w:val="00941BB3"/>
    <w:rsid w:val="00942478"/>
    <w:rsid w:val="00942743"/>
    <w:rsid w:val="009429D5"/>
    <w:rsid w:val="00942BF1"/>
    <w:rsid w:val="00943994"/>
    <w:rsid w:val="009447F7"/>
    <w:rsid w:val="00944E85"/>
    <w:rsid w:val="00945180"/>
    <w:rsid w:val="00945428"/>
    <w:rsid w:val="00945617"/>
    <w:rsid w:val="009458C1"/>
    <w:rsid w:val="0094607B"/>
    <w:rsid w:val="00946740"/>
    <w:rsid w:val="00947B17"/>
    <w:rsid w:val="009502D5"/>
    <w:rsid w:val="00950ABC"/>
    <w:rsid w:val="009514BF"/>
    <w:rsid w:val="00952C89"/>
    <w:rsid w:val="0095329E"/>
    <w:rsid w:val="00953343"/>
    <w:rsid w:val="00953604"/>
    <w:rsid w:val="0095496B"/>
    <w:rsid w:val="00954E5D"/>
    <w:rsid w:val="00955358"/>
    <w:rsid w:val="009556BE"/>
    <w:rsid w:val="00955E07"/>
    <w:rsid w:val="00956567"/>
    <w:rsid w:val="00957DE6"/>
    <w:rsid w:val="00957F43"/>
    <w:rsid w:val="00960087"/>
    <w:rsid w:val="00960A4C"/>
    <w:rsid w:val="009610DC"/>
    <w:rsid w:val="009612CD"/>
    <w:rsid w:val="00961490"/>
    <w:rsid w:val="00961BD1"/>
    <w:rsid w:val="00961DC2"/>
    <w:rsid w:val="0096381A"/>
    <w:rsid w:val="00963B4D"/>
    <w:rsid w:val="00964D9E"/>
    <w:rsid w:val="00964DA8"/>
    <w:rsid w:val="00964E4D"/>
    <w:rsid w:val="00965500"/>
    <w:rsid w:val="00965A1F"/>
    <w:rsid w:val="00965E04"/>
    <w:rsid w:val="009674AD"/>
    <w:rsid w:val="009709FE"/>
    <w:rsid w:val="00970CDC"/>
    <w:rsid w:val="00971B86"/>
    <w:rsid w:val="009725E8"/>
    <w:rsid w:val="00974944"/>
    <w:rsid w:val="00974EDB"/>
    <w:rsid w:val="009761AE"/>
    <w:rsid w:val="00976880"/>
    <w:rsid w:val="00977010"/>
    <w:rsid w:val="00977D02"/>
    <w:rsid w:val="009809BB"/>
    <w:rsid w:val="0098128E"/>
    <w:rsid w:val="0098224C"/>
    <w:rsid w:val="0098275A"/>
    <w:rsid w:val="00982FF3"/>
    <w:rsid w:val="0098364B"/>
    <w:rsid w:val="00983CDB"/>
    <w:rsid w:val="00983FEC"/>
    <w:rsid w:val="0098417E"/>
    <w:rsid w:val="00985376"/>
    <w:rsid w:val="00986AA2"/>
    <w:rsid w:val="00987036"/>
    <w:rsid w:val="00990494"/>
    <w:rsid w:val="00991044"/>
    <w:rsid w:val="009911AF"/>
    <w:rsid w:val="009915A0"/>
    <w:rsid w:val="00991738"/>
    <w:rsid w:val="00991875"/>
    <w:rsid w:val="00991B4A"/>
    <w:rsid w:val="00991F92"/>
    <w:rsid w:val="009920A4"/>
    <w:rsid w:val="009925B3"/>
    <w:rsid w:val="009928EC"/>
    <w:rsid w:val="00992985"/>
    <w:rsid w:val="00993889"/>
    <w:rsid w:val="00993989"/>
    <w:rsid w:val="00993B83"/>
    <w:rsid w:val="0099423B"/>
    <w:rsid w:val="00994610"/>
    <w:rsid w:val="00994782"/>
    <w:rsid w:val="0099551B"/>
    <w:rsid w:val="00995745"/>
    <w:rsid w:val="00995EA1"/>
    <w:rsid w:val="00995EF3"/>
    <w:rsid w:val="009965A5"/>
    <w:rsid w:val="00997346"/>
    <w:rsid w:val="00997BF1"/>
    <w:rsid w:val="00997C0B"/>
    <w:rsid w:val="009A02BC"/>
    <w:rsid w:val="009A04B3"/>
    <w:rsid w:val="009A089C"/>
    <w:rsid w:val="009A118E"/>
    <w:rsid w:val="009A1B38"/>
    <w:rsid w:val="009A1F66"/>
    <w:rsid w:val="009A21CD"/>
    <w:rsid w:val="009A278C"/>
    <w:rsid w:val="009A2BC2"/>
    <w:rsid w:val="009A3C97"/>
    <w:rsid w:val="009A42C1"/>
    <w:rsid w:val="009A4E59"/>
    <w:rsid w:val="009A5429"/>
    <w:rsid w:val="009A5435"/>
    <w:rsid w:val="009A58C0"/>
    <w:rsid w:val="009A5BAF"/>
    <w:rsid w:val="009A5BCB"/>
    <w:rsid w:val="009A72AD"/>
    <w:rsid w:val="009A78A0"/>
    <w:rsid w:val="009B09E0"/>
    <w:rsid w:val="009B0BC5"/>
    <w:rsid w:val="009B1247"/>
    <w:rsid w:val="009B2B46"/>
    <w:rsid w:val="009B2D3E"/>
    <w:rsid w:val="009B3F60"/>
    <w:rsid w:val="009B46D3"/>
    <w:rsid w:val="009B4E91"/>
    <w:rsid w:val="009B54BB"/>
    <w:rsid w:val="009B5883"/>
    <w:rsid w:val="009B5EFD"/>
    <w:rsid w:val="009B6029"/>
    <w:rsid w:val="009B60AD"/>
    <w:rsid w:val="009B6464"/>
    <w:rsid w:val="009B6971"/>
    <w:rsid w:val="009C012C"/>
    <w:rsid w:val="009C14D6"/>
    <w:rsid w:val="009C21C8"/>
    <w:rsid w:val="009C27F1"/>
    <w:rsid w:val="009C3152"/>
    <w:rsid w:val="009C41EC"/>
    <w:rsid w:val="009C4CFA"/>
    <w:rsid w:val="009C5070"/>
    <w:rsid w:val="009C644E"/>
    <w:rsid w:val="009C7213"/>
    <w:rsid w:val="009C7381"/>
    <w:rsid w:val="009C7D81"/>
    <w:rsid w:val="009D017C"/>
    <w:rsid w:val="009D032C"/>
    <w:rsid w:val="009D0372"/>
    <w:rsid w:val="009D05E9"/>
    <w:rsid w:val="009D09B4"/>
    <w:rsid w:val="009D0D96"/>
    <w:rsid w:val="009D112C"/>
    <w:rsid w:val="009D19FD"/>
    <w:rsid w:val="009D3D18"/>
    <w:rsid w:val="009D47FA"/>
    <w:rsid w:val="009D50D2"/>
    <w:rsid w:val="009D5D7D"/>
    <w:rsid w:val="009D6BCA"/>
    <w:rsid w:val="009D6E2C"/>
    <w:rsid w:val="009D72B9"/>
    <w:rsid w:val="009D7FEF"/>
    <w:rsid w:val="009E0703"/>
    <w:rsid w:val="009E0F62"/>
    <w:rsid w:val="009E106B"/>
    <w:rsid w:val="009E1848"/>
    <w:rsid w:val="009E25E1"/>
    <w:rsid w:val="009E2708"/>
    <w:rsid w:val="009E3A8F"/>
    <w:rsid w:val="009E4A58"/>
    <w:rsid w:val="009E4C41"/>
    <w:rsid w:val="009E5242"/>
    <w:rsid w:val="009E5273"/>
    <w:rsid w:val="009E5A2D"/>
    <w:rsid w:val="009E5AB2"/>
    <w:rsid w:val="009E5BE4"/>
    <w:rsid w:val="009E6127"/>
    <w:rsid w:val="009E6219"/>
    <w:rsid w:val="009E76CE"/>
    <w:rsid w:val="009F025A"/>
    <w:rsid w:val="009F03B3"/>
    <w:rsid w:val="009F1E54"/>
    <w:rsid w:val="009F2878"/>
    <w:rsid w:val="009F3B40"/>
    <w:rsid w:val="009F62D1"/>
    <w:rsid w:val="009F75CD"/>
    <w:rsid w:val="009F7FB9"/>
    <w:rsid w:val="00A004F7"/>
    <w:rsid w:val="00A00AC7"/>
    <w:rsid w:val="00A01757"/>
    <w:rsid w:val="00A01C66"/>
    <w:rsid w:val="00A01DBF"/>
    <w:rsid w:val="00A01F27"/>
    <w:rsid w:val="00A028C0"/>
    <w:rsid w:val="00A02BAE"/>
    <w:rsid w:val="00A0315E"/>
    <w:rsid w:val="00A032CF"/>
    <w:rsid w:val="00A0431B"/>
    <w:rsid w:val="00A044D1"/>
    <w:rsid w:val="00A047DB"/>
    <w:rsid w:val="00A04CDD"/>
    <w:rsid w:val="00A05263"/>
    <w:rsid w:val="00A05AA6"/>
    <w:rsid w:val="00A062B6"/>
    <w:rsid w:val="00A06904"/>
    <w:rsid w:val="00A06A6B"/>
    <w:rsid w:val="00A07A22"/>
    <w:rsid w:val="00A07ABD"/>
    <w:rsid w:val="00A07E47"/>
    <w:rsid w:val="00A11026"/>
    <w:rsid w:val="00A115C0"/>
    <w:rsid w:val="00A117D5"/>
    <w:rsid w:val="00A11FF5"/>
    <w:rsid w:val="00A1251B"/>
    <w:rsid w:val="00A129D0"/>
    <w:rsid w:val="00A12C33"/>
    <w:rsid w:val="00A13325"/>
    <w:rsid w:val="00A138BA"/>
    <w:rsid w:val="00A14C8E"/>
    <w:rsid w:val="00A14F0C"/>
    <w:rsid w:val="00A153D9"/>
    <w:rsid w:val="00A15B0A"/>
    <w:rsid w:val="00A15DA2"/>
    <w:rsid w:val="00A15F09"/>
    <w:rsid w:val="00A169B6"/>
    <w:rsid w:val="00A16EBB"/>
    <w:rsid w:val="00A17008"/>
    <w:rsid w:val="00A173FD"/>
    <w:rsid w:val="00A1793E"/>
    <w:rsid w:val="00A17A21"/>
    <w:rsid w:val="00A17FF0"/>
    <w:rsid w:val="00A2025E"/>
    <w:rsid w:val="00A2064A"/>
    <w:rsid w:val="00A20A92"/>
    <w:rsid w:val="00A2271D"/>
    <w:rsid w:val="00A237D5"/>
    <w:rsid w:val="00A23D45"/>
    <w:rsid w:val="00A25032"/>
    <w:rsid w:val="00A25F33"/>
    <w:rsid w:val="00A302D9"/>
    <w:rsid w:val="00A30351"/>
    <w:rsid w:val="00A30B24"/>
    <w:rsid w:val="00A30EFC"/>
    <w:rsid w:val="00A313A5"/>
    <w:rsid w:val="00A31984"/>
    <w:rsid w:val="00A327D2"/>
    <w:rsid w:val="00A32D57"/>
    <w:rsid w:val="00A32D73"/>
    <w:rsid w:val="00A3367B"/>
    <w:rsid w:val="00A340F5"/>
    <w:rsid w:val="00A342E8"/>
    <w:rsid w:val="00A34319"/>
    <w:rsid w:val="00A3593B"/>
    <w:rsid w:val="00A3597D"/>
    <w:rsid w:val="00A36208"/>
    <w:rsid w:val="00A362AF"/>
    <w:rsid w:val="00A36B92"/>
    <w:rsid w:val="00A376FD"/>
    <w:rsid w:val="00A4006C"/>
    <w:rsid w:val="00A40091"/>
    <w:rsid w:val="00A4030F"/>
    <w:rsid w:val="00A40821"/>
    <w:rsid w:val="00A40878"/>
    <w:rsid w:val="00A40CEF"/>
    <w:rsid w:val="00A41C79"/>
    <w:rsid w:val="00A41CB5"/>
    <w:rsid w:val="00A421BE"/>
    <w:rsid w:val="00A42241"/>
    <w:rsid w:val="00A42CDF"/>
    <w:rsid w:val="00A4307B"/>
    <w:rsid w:val="00A43452"/>
    <w:rsid w:val="00A43786"/>
    <w:rsid w:val="00A43B9B"/>
    <w:rsid w:val="00A43E57"/>
    <w:rsid w:val="00A4452E"/>
    <w:rsid w:val="00A4472C"/>
    <w:rsid w:val="00A44E69"/>
    <w:rsid w:val="00A45509"/>
    <w:rsid w:val="00A45B82"/>
    <w:rsid w:val="00A4661E"/>
    <w:rsid w:val="00A46901"/>
    <w:rsid w:val="00A50CE1"/>
    <w:rsid w:val="00A51607"/>
    <w:rsid w:val="00A51AA3"/>
    <w:rsid w:val="00A51BB6"/>
    <w:rsid w:val="00A51C83"/>
    <w:rsid w:val="00A539A1"/>
    <w:rsid w:val="00A550F9"/>
    <w:rsid w:val="00A55BD6"/>
    <w:rsid w:val="00A55D50"/>
    <w:rsid w:val="00A55DD7"/>
    <w:rsid w:val="00A55F3A"/>
    <w:rsid w:val="00A56F05"/>
    <w:rsid w:val="00A57142"/>
    <w:rsid w:val="00A578FC"/>
    <w:rsid w:val="00A61301"/>
    <w:rsid w:val="00A61D48"/>
    <w:rsid w:val="00A61FC8"/>
    <w:rsid w:val="00A6282F"/>
    <w:rsid w:val="00A629AE"/>
    <w:rsid w:val="00A64014"/>
    <w:rsid w:val="00A648CD"/>
    <w:rsid w:val="00A6537A"/>
    <w:rsid w:val="00A667B1"/>
    <w:rsid w:val="00A677A9"/>
    <w:rsid w:val="00A67866"/>
    <w:rsid w:val="00A70B07"/>
    <w:rsid w:val="00A70B1A"/>
    <w:rsid w:val="00A71CA9"/>
    <w:rsid w:val="00A723F8"/>
    <w:rsid w:val="00A72B7A"/>
    <w:rsid w:val="00A73091"/>
    <w:rsid w:val="00A73923"/>
    <w:rsid w:val="00A73C9E"/>
    <w:rsid w:val="00A75145"/>
    <w:rsid w:val="00A7549F"/>
    <w:rsid w:val="00A75580"/>
    <w:rsid w:val="00A75D3A"/>
    <w:rsid w:val="00A76741"/>
    <w:rsid w:val="00A76771"/>
    <w:rsid w:val="00A767D2"/>
    <w:rsid w:val="00A77073"/>
    <w:rsid w:val="00A7733D"/>
    <w:rsid w:val="00A77B44"/>
    <w:rsid w:val="00A77CCB"/>
    <w:rsid w:val="00A80446"/>
    <w:rsid w:val="00A80947"/>
    <w:rsid w:val="00A818A9"/>
    <w:rsid w:val="00A818AD"/>
    <w:rsid w:val="00A825FB"/>
    <w:rsid w:val="00A8366B"/>
    <w:rsid w:val="00A8380C"/>
    <w:rsid w:val="00A83D8D"/>
    <w:rsid w:val="00A8446B"/>
    <w:rsid w:val="00A8454E"/>
    <w:rsid w:val="00A8473F"/>
    <w:rsid w:val="00A85C8F"/>
    <w:rsid w:val="00A85F4A"/>
    <w:rsid w:val="00A862D6"/>
    <w:rsid w:val="00A865EC"/>
    <w:rsid w:val="00A86777"/>
    <w:rsid w:val="00A869D8"/>
    <w:rsid w:val="00A86F34"/>
    <w:rsid w:val="00A870E5"/>
    <w:rsid w:val="00A8715E"/>
    <w:rsid w:val="00A87647"/>
    <w:rsid w:val="00A900D2"/>
    <w:rsid w:val="00A90791"/>
    <w:rsid w:val="00A90999"/>
    <w:rsid w:val="00A910BE"/>
    <w:rsid w:val="00A92004"/>
    <w:rsid w:val="00A924E2"/>
    <w:rsid w:val="00A92874"/>
    <w:rsid w:val="00A9295B"/>
    <w:rsid w:val="00A93171"/>
    <w:rsid w:val="00A93692"/>
    <w:rsid w:val="00A93B09"/>
    <w:rsid w:val="00A9440D"/>
    <w:rsid w:val="00A9467A"/>
    <w:rsid w:val="00A952D7"/>
    <w:rsid w:val="00A958C3"/>
    <w:rsid w:val="00A95C08"/>
    <w:rsid w:val="00A95CAC"/>
    <w:rsid w:val="00A96026"/>
    <w:rsid w:val="00A963F7"/>
    <w:rsid w:val="00A96AD8"/>
    <w:rsid w:val="00A9732B"/>
    <w:rsid w:val="00A97409"/>
    <w:rsid w:val="00A97615"/>
    <w:rsid w:val="00AA029E"/>
    <w:rsid w:val="00AA052C"/>
    <w:rsid w:val="00AA0FCC"/>
    <w:rsid w:val="00AA1318"/>
    <w:rsid w:val="00AA14A3"/>
    <w:rsid w:val="00AA1E45"/>
    <w:rsid w:val="00AA20F5"/>
    <w:rsid w:val="00AA2BA2"/>
    <w:rsid w:val="00AA30E6"/>
    <w:rsid w:val="00AA3BD8"/>
    <w:rsid w:val="00AA3F61"/>
    <w:rsid w:val="00AA4286"/>
    <w:rsid w:val="00AA456B"/>
    <w:rsid w:val="00AA5224"/>
    <w:rsid w:val="00AA52F0"/>
    <w:rsid w:val="00AA5799"/>
    <w:rsid w:val="00AA57F5"/>
    <w:rsid w:val="00AA5C66"/>
    <w:rsid w:val="00AA5C81"/>
    <w:rsid w:val="00AA672E"/>
    <w:rsid w:val="00AA6EC9"/>
    <w:rsid w:val="00AB0200"/>
    <w:rsid w:val="00AB0B6E"/>
    <w:rsid w:val="00AB0DC0"/>
    <w:rsid w:val="00AB26AB"/>
    <w:rsid w:val="00AB3646"/>
    <w:rsid w:val="00AB3AEB"/>
    <w:rsid w:val="00AB42D6"/>
    <w:rsid w:val="00AB5437"/>
    <w:rsid w:val="00AB5A3D"/>
    <w:rsid w:val="00AB5CD2"/>
    <w:rsid w:val="00AB5FD4"/>
    <w:rsid w:val="00AB6309"/>
    <w:rsid w:val="00AB68C3"/>
    <w:rsid w:val="00AB68D5"/>
    <w:rsid w:val="00AB6C18"/>
    <w:rsid w:val="00AB6C5F"/>
    <w:rsid w:val="00AB700F"/>
    <w:rsid w:val="00AB7129"/>
    <w:rsid w:val="00AB7204"/>
    <w:rsid w:val="00AB72AD"/>
    <w:rsid w:val="00AC0E6B"/>
    <w:rsid w:val="00AC131D"/>
    <w:rsid w:val="00AC15C2"/>
    <w:rsid w:val="00AC27A6"/>
    <w:rsid w:val="00AC29B6"/>
    <w:rsid w:val="00AC30F7"/>
    <w:rsid w:val="00AC386E"/>
    <w:rsid w:val="00AC3A5A"/>
    <w:rsid w:val="00AC46B6"/>
    <w:rsid w:val="00AC4B0B"/>
    <w:rsid w:val="00AC4D95"/>
    <w:rsid w:val="00AC4F93"/>
    <w:rsid w:val="00AC5DF4"/>
    <w:rsid w:val="00AC63B4"/>
    <w:rsid w:val="00AC75EB"/>
    <w:rsid w:val="00AC7E51"/>
    <w:rsid w:val="00AC7EB0"/>
    <w:rsid w:val="00AD03A6"/>
    <w:rsid w:val="00AD0AE1"/>
    <w:rsid w:val="00AD0AEF"/>
    <w:rsid w:val="00AD0B65"/>
    <w:rsid w:val="00AD0D62"/>
    <w:rsid w:val="00AD105D"/>
    <w:rsid w:val="00AD11B7"/>
    <w:rsid w:val="00AD1838"/>
    <w:rsid w:val="00AD1A94"/>
    <w:rsid w:val="00AD1C05"/>
    <w:rsid w:val="00AD210A"/>
    <w:rsid w:val="00AD2D3A"/>
    <w:rsid w:val="00AD3BF4"/>
    <w:rsid w:val="00AD4126"/>
    <w:rsid w:val="00AD421C"/>
    <w:rsid w:val="00AD44FA"/>
    <w:rsid w:val="00AD454B"/>
    <w:rsid w:val="00AD476A"/>
    <w:rsid w:val="00AD481E"/>
    <w:rsid w:val="00AD5D89"/>
    <w:rsid w:val="00AD5D9F"/>
    <w:rsid w:val="00AD5DD7"/>
    <w:rsid w:val="00AD6FB4"/>
    <w:rsid w:val="00AD78C7"/>
    <w:rsid w:val="00AD78F3"/>
    <w:rsid w:val="00AD7A04"/>
    <w:rsid w:val="00AE070A"/>
    <w:rsid w:val="00AE096D"/>
    <w:rsid w:val="00AE0CA8"/>
    <w:rsid w:val="00AE101C"/>
    <w:rsid w:val="00AE232F"/>
    <w:rsid w:val="00AE280F"/>
    <w:rsid w:val="00AE2EDB"/>
    <w:rsid w:val="00AE3607"/>
    <w:rsid w:val="00AE3D6B"/>
    <w:rsid w:val="00AE44CC"/>
    <w:rsid w:val="00AE4AD0"/>
    <w:rsid w:val="00AE4E96"/>
    <w:rsid w:val="00AE5085"/>
    <w:rsid w:val="00AE50EE"/>
    <w:rsid w:val="00AE5654"/>
    <w:rsid w:val="00AE5EB4"/>
    <w:rsid w:val="00AE6536"/>
    <w:rsid w:val="00AE6DA7"/>
    <w:rsid w:val="00AE6E45"/>
    <w:rsid w:val="00AE79E9"/>
    <w:rsid w:val="00AF080E"/>
    <w:rsid w:val="00AF0C18"/>
    <w:rsid w:val="00AF11B7"/>
    <w:rsid w:val="00AF12BA"/>
    <w:rsid w:val="00AF2710"/>
    <w:rsid w:val="00AF2F42"/>
    <w:rsid w:val="00AF382D"/>
    <w:rsid w:val="00AF400B"/>
    <w:rsid w:val="00AF43B3"/>
    <w:rsid w:val="00AF46D4"/>
    <w:rsid w:val="00AF47C5"/>
    <w:rsid w:val="00AF5398"/>
    <w:rsid w:val="00AF5F75"/>
    <w:rsid w:val="00AF6BD1"/>
    <w:rsid w:val="00AF7076"/>
    <w:rsid w:val="00AF71CA"/>
    <w:rsid w:val="00B011A8"/>
    <w:rsid w:val="00B0189A"/>
    <w:rsid w:val="00B01C5F"/>
    <w:rsid w:val="00B02C55"/>
    <w:rsid w:val="00B03B6A"/>
    <w:rsid w:val="00B03EB7"/>
    <w:rsid w:val="00B049AF"/>
    <w:rsid w:val="00B0501D"/>
    <w:rsid w:val="00B0593C"/>
    <w:rsid w:val="00B06ECF"/>
    <w:rsid w:val="00B07242"/>
    <w:rsid w:val="00B07DD2"/>
    <w:rsid w:val="00B10534"/>
    <w:rsid w:val="00B113DB"/>
    <w:rsid w:val="00B11D8A"/>
    <w:rsid w:val="00B127B6"/>
    <w:rsid w:val="00B12981"/>
    <w:rsid w:val="00B136A5"/>
    <w:rsid w:val="00B146A7"/>
    <w:rsid w:val="00B147DD"/>
    <w:rsid w:val="00B14EBC"/>
    <w:rsid w:val="00B155DC"/>
    <w:rsid w:val="00B156FD"/>
    <w:rsid w:val="00B15B72"/>
    <w:rsid w:val="00B16227"/>
    <w:rsid w:val="00B1659A"/>
    <w:rsid w:val="00B17271"/>
    <w:rsid w:val="00B20262"/>
    <w:rsid w:val="00B20FA4"/>
    <w:rsid w:val="00B21DD5"/>
    <w:rsid w:val="00B21F61"/>
    <w:rsid w:val="00B21FA5"/>
    <w:rsid w:val="00B22271"/>
    <w:rsid w:val="00B22E30"/>
    <w:rsid w:val="00B24036"/>
    <w:rsid w:val="00B25134"/>
    <w:rsid w:val="00B25183"/>
    <w:rsid w:val="00B25B6E"/>
    <w:rsid w:val="00B261F1"/>
    <w:rsid w:val="00B2645E"/>
    <w:rsid w:val="00B265BC"/>
    <w:rsid w:val="00B27476"/>
    <w:rsid w:val="00B27522"/>
    <w:rsid w:val="00B277F6"/>
    <w:rsid w:val="00B27892"/>
    <w:rsid w:val="00B27AD0"/>
    <w:rsid w:val="00B31145"/>
    <w:rsid w:val="00B31AF0"/>
    <w:rsid w:val="00B31FB1"/>
    <w:rsid w:val="00B32503"/>
    <w:rsid w:val="00B32918"/>
    <w:rsid w:val="00B32A04"/>
    <w:rsid w:val="00B335BD"/>
    <w:rsid w:val="00B33696"/>
    <w:rsid w:val="00B33952"/>
    <w:rsid w:val="00B33C5E"/>
    <w:rsid w:val="00B34247"/>
    <w:rsid w:val="00B342F4"/>
    <w:rsid w:val="00B34369"/>
    <w:rsid w:val="00B343E6"/>
    <w:rsid w:val="00B34806"/>
    <w:rsid w:val="00B34DC2"/>
    <w:rsid w:val="00B35440"/>
    <w:rsid w:val="00B36EC0"/>
    <w:rsid w:val="00B37394"/>
    <w:rsid w:val="00B378E5"/>
    <w:rsid w:val="00B40E27"/>
    <w:rsid w:val="00B415A9"/>
    <w:rsid w:val="00B41611"/>
    <w:rsid w:val="00B42EBD"/>
    <w:rsid w:val="00B4310A"/>
    <w:rsid w:val="00B432F7"/>
    <w:rsid w:val="00B4346D"/>
    <w:rsid w:val="00B437C6"/>
    <w:rsid w:val="00B43DC1"/>
    <w:rsid w:val="00B440AC"/>
    <w:rsid w:val="00B440F4"/>
    <w:rsid w:val="00B445FA"/>
    <w:rsid w:val="00B447A5"/>
    <w:rsid w:val="00B45E49"/>
    <w:rsid w:val="00B463EB"/>
    <w:rsid w:val="00B4654C"/>
    <w:rsid w:val="00B465E2"/>
    <w:rsid w:val="00B46A0A"/>
    <w:rsid w:val="00B46D93"/>
    <w:rsid w:val="00B47293"/>
    <w:rsid w:val="00B50E50"/>
    <w:rsid w:val="00B50EA8"/>
    <w:rsid w:val="00B52120"/>
    <w:rsid w:val="00B53370"/>
    <w:rsid w:val="00B53833"/>
    <w:rsid w:val="00B53FF8"/>
    <w:rsid w:val="00B54ABC"/>
    <w:rsid w:val="00B5505D"/>
    <w:rsid w:val="00B550AF"/>
    <w:rsid w:val="00B567F1"/>
    <w:rsid w:val="00B56D24"/>
    <w:rsid w:val="00B56FBE"/>
    <w:rsid w:val="00B57126"/>
    <w:rsid w:val="00B577FC"/>
    <w:rsid w:val="00B57A38"/>
    <w:rsid w:val="00B57D2E"/>
    <w:rsid w:val="00B6063E"/>
    <w:rsid w:val="00B60AB2"/>
    <w:rsid w:val="00B620E7"/>
    <w:rsid w:val="00B62598"/>
    <w:rsid w:val="00B62B58"/>
    <w:rsid w:val="00B62C3D"/>
    <w:rsid w:val="00B63A93"/>
    <w:rsid w:val="00B64EE7"/>
    <w:rsid w:val="00B65149"/>
    <w:rsid w:val="00B66567"/>
    <w:rsid w:val="00B666B1"/>
    <w:rsid w:val="00B66733"/>
    <w:rsid w:val="00B66972"/>
    <w:rsid w:val="00B66F52"/>
    <w:rsid w:val="00B66FE5"/>
    <w:rsid w:val="00B67062"/>
    <w:rsid w:val="00B67B1F"/>
    <w:rsid w:val="00B70BD2"/>
    <w:rsid w:val="00B70D9B"/>
    <w:rsid w:val="00B70F35"/>
    <w:rsid w:val="00B7120E"/>
    <w:rsid w:val="00B71674"/>
    <w:rsid w:val="00B71712"/>
    <w:rsid w:val="00B71F28"/>
    <w:rsid w:val="00B72880"/>
    <w:rsid w:val="00B741CA"/>
    <w:rsid w:val="00B74A80"/>
    <w:rsid w:val="00B74FE1"/>
    <w:rsid w:val="00B758BF"/>
    <w:rsid w:val="00B76976"/>
    <w:rsid w:val="00B76F06"/>
    <w:rsid w:val="00B7773A"/>
    <w:rsid w:val="00B77905"/>
    <w:rsid w:val="00B8011B"/>
    <w:rsid w:val="00B803BC"/>
    <w:rsid w:val="00B80569"/>
    <w:rsid w:val="00B809C9"/>
    <w:rsid w:val="00B80A0C"/>
    <w:rsid w:val="00B81125"/>
    <w:rsid w:val="00B81181"/>
    <w:rsid w:val="00B819D5"/>
    <w:rsid w:val="00B827A6"/>
    <w:rsid w:val="00B82BD7"/>
    <w:rsid w:val="00B82DA0"/>
    <w:rsid w:val="00B82FAD"/>
    <w:rsid w:val="00B831CE"/>
    <w:rsid w:val="00B83B5F"/>
    <w:rsid w:val="00B841E3"/>
    <w:rsid w:val="00B84336"/>
    <w:rsid w:val="00B8484F"/>
    <w:rsid w:val="00B84F75"/>
    <w:rsid w:val="00B85B89"/>
    <w:rsid w:val="00B85E22"/>
    <w:rsid w:val="00B86677"/>
    <w:rsid w:val="00B867EE"/>
    <w:rsid w:val="00B87131"/>
    <w:rsid w:val="00B87DB6"/>
    <w:rsid w:val="00B90048"/>
    <w:rsid w:val="00B90F38"/>
    <w:rsid w:val="00B91197"/>
    <w:rsid w:val="00B916F9"/>
    <w:rsid w:val="00B91F55"/>
    <w:rsid w:val="00B92728"/>
    <w:rsid w:val="00B93180"/>
    <w:rsid w:val="00B93244"/>
    <w:rsid w:val="00B934E4"/>
    <w:rsid w:val="00B93843"/>
    <w:rsid w:val="00B939B1"/>
    <w:rsid w:val="00B93CA7"/>
    <w:rsid w:val="00B95BE3"/>
    <w:rsid w:val="00B967F2"/>
    <w:rsid w:val="00B96D40"/>
    <w:rsid w:val="00B97386"/>
    <w:rsid w:val="00B978DB"/>
    <w:rsid w:val="00B97A71"/>
    <w:rsid w:val="00BA1299"/>
    <w:rsid w:val="00BA13B5"/>
    <w:rsid w:val="00BA263B"/>
    <w:rsid w:val="00BA2F3B"/>
    <w:rsid w:val="00BA2FAF"/>
    <w:rsid w:val="00BA30E0"/>
    <w:rsid w:val="00BA32F8"/>
    <w:rsid w:val="00BA3B6E"/>
    <w:rsid w:val="00BA3C10"/>
    <w:rsid w:val="00BA42B2"/>
    <w:rsid w:val="00BA4B20"/>
    <w:rsid w:val="00BA4F5C"/>
    <w:rsid w:val="00BA58D4"/>
    <w:rsid w:val="00BA5B9E"/>
    <w:rsid w:val="00BA6BF3"/>
    <w:rsid w:val="00BA7C9A"/>
    <w:rsid w:val="00BB0CC7"/>
    <w:rsid w:val="00BB2773"/>
    <w:rsid w:val="00BB2C29"/>
    <w:rsid w:val="00BB3416"/>
    <w:rsid w:val="00BB47C2"/>
    <w:rsid w:val="00BB4BBA"/>
    <w:rsid w:val="00BB5F8F"/>
    <w:rsid w:val="00BB657A"/>
    <w:rsid w:val="00BB6F41"/>
    <w:rsid w:val="00BB7311"/>
    <w:rsid w:val="00BC03A7"/>
    <w:rsid w:val="00BC09C4"/>
    <w:rsid w:val="00BC10A8"/>
    <w:rsid w:val="00BC1309"/>
    <w:rsid w:val="00BC1718"/>
    <w:rsid w:val="00BC1A4E"/>
    <w:rsid w:val="00BC2D43"/>
    <w:rsid w:val="00BC31B8"/>
    <w:rsid w:val="00BC3490"/>
    <w:rsid w:val="00BC452F"/>
    <w:rsid w:val="00BC4E3F"/>
    <w:rsid w:val="00BC5C45"/>
    <w:rsid w:val="00BC5CD1"/>
    <w:rsid w:val="00BC5DC7"/>
    <w:rsid w:val="00BC681F"/>
    <w:rsid w:val="00BC6A1D"/>
    <w:rsid w:val="00BC6B8B"/>
    <w:rsid w:val="00BC73A8"/>
    <w:rsid w:val="00BC73D8"/>
    <w:rsid w:val="00BD05CA"/>
    <w:rsid w:val="00BD129E"/>
    <w:rsid w:val="00BD13CF"/>
    <w:rsid w:val="00BD1F01"/>
    <w:rsid w:val="00BD2305"/>
    <w:rsid w:val="00BD2F01"/>
    <w:rsid w:val="00BD3252"/>
    <w:rsid w:val="00BD36A1"/>
    <w:rsid w:val="00BD52D7"/>
    <w:rsid w:val="00BD5620"/>
    <w:rsid w:val="00BD5AD2"/>
    <w:rsid w:val="00BD7B17"/>
    <w:rsid w:val="00BE1261"/>
    <w:rsid w:val="00BE161D"/>
    <w:rsid w:val="00BE22F3"/>
    <w:rsid w:val="00BE275F"/>
    <w:rsid w:val="00BE291D"/>
    <w:rsid w:val="00BE30B7"/>
    <w:rsid w:val="00BE389F"/>
    <w:rsid w:val="00BE400D"/>
    <w:rsid w:val="00BE5955"/>
    <w:rsid w:val="00BE5B52"/>
    <w:rsid w:val="00BE6667"/>
    <w:rsid w:val="00BE79A4"/>
    <w:rsid w:val="00BE7B8D"/>
    <w:rsid w:val="00BE7BEB"/>
    <w:rsid w:val="00BF0993"/>
    <w:rsid w:val="00BF10A9"/>
    <w:rsid w:val="00BF1703"/>
    <w:rsid w:val="00BF1C91"/>
    <w:rsid w:val="00BF2106"/>
    <w:rsid w:val="00BF231C"/>
    <w:rsid w:val="00BF2648"/>
    <w:rsid w:val="00BF3EA1"/>
    <w:rsid w:val="00BF51E5"/>
    <w:rsid w:val="00BF5310"/>
    <w:rsid w:val="00BF5CF9"/>
    <w:rsid w:val="00BF61CE"/>
    <w:rsid w:val="00BF74A6"/>
    <w:rsid w:val="00BF7718"/>
    <w:rsid w:val="00BF7E4D"/>
    <w:rsid w:val="00C00C43"/>
    <w:rsid w:val="00C0106D"/>
    <w:rsid w:val="00C013AD"/>
    <w:rsid w:val="00C020FB"/>
    <w:rsid w:val="00C02CF0"/>
    <w:rsid w:val="00C04904"/>
    <w:rsid w:val="00C050E7"/>
    <w:rsid w:val="00C056B3"/>
    <w:rsid w:val="00C057C5"/>
    <w:rsid w:val="00C05F78"/>
    <w:rsid w:val="00C06870"/>
    <w:rsid w:val="00C06E3B"/>
    <w:rsid w:val="00C07093"/>
    <w:rsid w:val="00C072CE"/>
    <w:rsid w:val="00C103E5"/>
    <w:rsid w:val="00C10F1B"/>
    <w:rsid w:val="00C118DB"/>
    <w:rsid w:val="00C11EF4"/>
    <w:rsid w:val="00C13319"/>
    <w:rsid w:val="00C13CA8"/>
    <w:rsid w:val="00C13EE9"/>
    <w:rsid w:val="00C1501C"/>
    <w:rsid w:val="00C15A59"/>
    <w:rsid w:val="00C15ED2"/>
    <w:rsid w:val="00C160B9"/>
    <w:rsid w:val="00C16A65"/>
    <w:rsid w:val="00C175DD"/>
    <w:rsid w:val="00C17E95"/>
    <w:rsid w:val="00C21540"/>
    <w:rsid w:val="00C21906"/>
    <w:rsid w:val="00C21BFA"/>
    <w:rsid w:val="00C248B4"/>
    <w:rsid w:val="00C24C5A"/>
    <w:rsid w:val="00C24C8D"/>
    <w:rsid w:val="00C253A5"/>
    <w:rsid w:val="00C25FE2"/>
    <w:rsid w:val="00C260F4"/>
    <w:rsid w:val="00C267AB"/>
    <w:rsid w:val="00C26B53"/>
    <w:rsid w:val="00C26CA6"/>
    <w:rsid w:val="00C27456"/>
    <w:rsid w:val="00C27781"/>
    <w:rsid w:val="00C279B2"/>
    <w:rsid w:val="00C27B83"/>
    <w:rsid w:val="00C31195"/>
    <w:rsid w:val="00C317DB"/>
    <w:rsid w:val="00C31D8E"/>
    <w:rsid w:val="00C3383F"/>
    <w:rsid w:val="00C33E50"/>
    <w:rsid w:val="00C343A4"/>
    <w:rsid w:val="00C34452"/>
    <w:rsid w:val="00C34659"/>
    <w:rsid w:val="00C34C20"/>
    <w:rsid w:val="00C34D8A"/>
    <w:rsid w:val="00C3536E"/>
    <w:rsid w:val="00C35A3E"/>
    <w:rsid w:val="00C35DF1"/>
    <w:rsid w:val="00C364B7"/>
    <w:rsid w:val="00C36DB8"/>
    <w:rsid w:val="00C37758"/>
    <w:rsid w:val="00C40093"/>
    <w:rsid w:val="00C41C27"/>
    <w:rsid w:val="00C41D96"/>
    <w:rsid w:val="00C42130"/>
    <w:rsid w:val="00C423A4"/>
    <w:rsid w:val="00C43264"/>
    <w:rsid w:val="00C436FE"/>
    <w:rsid w:val="00C4432D"/>
    <w:rsid w:val="00C44BF5"/>
    <w:rsid w:val="00C4533D"/>
    <w:rsid w:val="00C4541A"/>
    <w:rsid w:val="00C45425"/>
    <w:rsid w:val="00C46181"/>
    <w:rsid w:val="00C47554"/>
    <w:rsid w:val="00C50FF1"/>
    <w:rsid w:val="00C51A2F"/>
    <w:rsid w:val="00C51FE9"/>
    <w:rsid w:val="00C521D6"/>
    <w:rsid w:val="00C53BB3"/>
    <w:rsid w:val="00C543CB"/>
    <w:rsid w:val="00C5452C"/>
    <w:rsid w:val="00C54AD6"/>
    <w:rsid w:val="00C55232"/>
    <w:rsid w:val="00C553A4"/>
    <w:rsid w:val="00C55650"/>
    <w:rsid w:val="00C55A06"/>
    <w:rsid w:val="00C55D03"/>
    <w:rsid w:val="00C56308"/>
    <w:rsid w:val="00C56AAD"/>
    <w:rsid w:val="00C577C1"/>
    <w:rsid w:val="00C601BC"/>
    <w:rsid w:val="00C60832"/>
    <w:rsid w:val="00C6164C"/>
    <w:rsid w:val="00C61AA3"/>
    <w:rsid w:val="00C6236F"/>
    <w:rsid w:val="00C6329F"/>
    <w:rsid w:val="00C63340"/>
    <w:rsid w:val="00C643F9"/>
    <w:rsid w:val="00C64E95"/>
    <w:rsid w:val="00C65322"/>
    <w:rsid w:val="00C65531"/>
    <w:rsid w:val="00C65FFD"/>
    <w:rsid w:val="00C66239"/>
    <w:rsid w:val="00C666AA"/>
    <w:rsid w:val="00C66710"/>
    <w:rsid w:val="00C668CC"/>
    <w:rsid w:val="00C669FB"/>
    <w:rsid w:val="00C7073E"/>
    <w:rsid w:val="00C70DC4"/>
    <w:rsid w:val="00C71372"/>
    <w:rsid w:val="00C715CB"/>
    <w:rsid w:val="00C72410"/>
    <w:rsid w:val="00C7287F"/>
    <w:rsid w:val="00C73783"/>
    <w:rsid w:val="00C747B3"/>
    <w:rsid w:val="00C75283"/>
    <w:rsid w:val="00C75573"/>
    <w:rsid w:val="00C75C7A"/>
    <w:rsid w:val="00C77D7A"/>
    <w:rsid w:val="00C80CB8"/>
    <w:rsid w:val="00C817D6"/>
    <w:rsid w:val="00C819F8"/>
    <w:rsid w:val="00C82327"/>
    <w:rsid w:val="00C8248C"/>
    <w:rsid w:val="00C82AD3"/>
    <w:rsid w:val="00C8361E"/>
    <w:rsid w:val="00C83679"/>
    <w:rsid w:val="00C84160"/>
    <w:rsid w:val="00C84E33"/>
    <w:rsid w:val="00C84EE3"/>
    <w:rsid w:val="00C856BD"/>
    <w:rsid w:val="00C8587E"/>
    <w:rsid w:val="00C860BA"/>
    <w:rsid w:val="00C86A6E"/>
    <w:rsid w:val="00C86D6F"/>
    <w:rsid w:val="00C86F33"/>
    <w:rsid w:val="00C87949"/>
    <w:rsid w:val="00C87BC9"/>
    <w:rsid w:val="00C87DF6"/>
    <w:rsid w:val="00C9001B"/>
    <w:rsid w:val="00C905FC"/>
    <w:rsid w:val="00C91D1C"/>
    <w:rsid w:val="00C92D03"/>
    <w:rsid w:val="00C9319C"/>
    <w:rsid w:val="00C9435D"/>
    <w:rsid w:val="00C94BAC"/>
    <w:rsid w:val="00C94C26"/>
    <w:rsid w:val="00C958D1"/>
    <w:rsid w:val="00C95B61"/>
    <w:rsid w:val="00C96741"/>
    <w:rsid w:val="00C96F66"/>
    <w:rsid w:val="00CA08C7"/>
    <w:rsid w:val="00CA0CBB"/>
    <w:rsid w:val="00CA17CF"/>
    <w:rsid w:val="00CA2047"/>
    <w:rsid w:val="00CA26C5"/>
    <w:rsid w:val="00CA2C5B"/>
    <w:rsid w:val="00CA2D1B"/>
    <w:rsid w:val="00CA36BD"/>
    <w:rsid w:val="00CA3798"/>
    <w:rsid w:val="00CA4097"/>
    <w:rsid w:val="00CA42C5"/>
    <w:rsid w:val="00CA4780"/>
    <w:rsid w:val="00CA4D9A"/>
    <w:rsid w:val="00CA5239"/>
    <w:rsid w:val="00CA5B83"/>
    <w:rsid w:val="00CA662A"/>
    <w:rsid w:val="00CA7AFD"/>
    <w:rsid w:val="00CA7C00"/>
    <w:rsid w:val="00CA7C3C"/>
    <w:rsid w:val="00CB0189"/>
    <w:rsid w:val="00CB0BA2"/>
    <w:rsid w:val="00CB0DBB"/>
    <w:rsid w:val="00CB11AB"/>
    <w:rsid w:val="00CB1A42"/>
    <w:rsid w:val="00CB1B0C"/>
    <w:rsid w:val="00CB282D"/>
    <w:rsid w:val="00CB2C0B"/>
    <w:rsid w:val="00CB32C1"/>
    <w:rsid w:val="00CB4830"/>
    <w:rsid w:val="00CB517D"/>
    <w:rsid w:val="00CB6CB7"/>
    <w:rsid w:val="00CB70D0"/>
    <w:rsid w:val="00CB72B5"/>
    <w:rsid w:val="00CC0315"/>
    <w:rsid w:val="00CC038D"/>
    <w:rsid w:val="00CC03C1"/>
    <w:rsid w:val="00CC0A5D"/>
    <w:rsid w:val="00CC1A52"/>
    <w:rsid w:val="00CC321A"/>
    <w:rsid w:val="00CC39FF"/>
    <w:rsid w:val="00CC3C2F"/>
    <w:rsid w:val="00CC3FB6"/>
    <w:rsid w:val="00CC4AC8"/>
    <w:rsid w:val="00CC5233"/>
    <w:rsid w:val="00CC5DE6"/>
    <w:rsid w:val="00CC629A"/>
    <w:rsid w:val="00CC6480"/>
    <w:rsid w:val="00CC6E4E"/>
    <w:rsid w:val="00CC6FE8"/>
    <w:rsid w:val="00CC7202"/>
    <w:rsid w:val="00CD0310"/>
    <w:rsid w:val="00CD0763"/>
    <w:rsid w:val="00CD0C1D"/>
    <w:rsid w:val="00CD0D9D"/>
    <w:rsid w:val="00CD0EE8"/>
    <w:rsid w:val="00CD0F6F"/>
    <w:rsid w:val="00CD21C9"/>
    <w:rsid w:val="00CD235C"/>
    <w:rsid w:val="00CD2808"/>
    <w:rsid w:val="00CD28BF"/>
    <w:rsid w:val="00CD3904"/>
    <w:rsid w:val="00CD4092"/>
    <w:rsid w:val="00CD40B9"/>
    <w:rsid w:val="00CD455E"/>
    <w:rsid w:val="00CD4A20"/>
    <w:rsid w:val="00CD50A1"/>
    <w:rsid w:val="00CD519E"/>
    <w:rsid w:val="00CD615C"/>
    <w:rsid w:val="00CD6E48"/>
    <w:rsid w:val="00CD7BAD"/>
    <w:rsid w:val="00CE058D"/>
    <w:rsid w:val="00CE0958"/>
    <w:rsid w:val="00CE0C4F"/>
    <w:rsid w:val="00CE11B7"/>
    <w:rsid w:val="00CE19FB"/>
    <w:rsid w:val="00CE1A80"/>
    <w:rsid w:val="00CE1AD1"/>
    <w:rsid w:val="00CE2301"/>
    <w:rsid w:val="00CE2FEA"/>
    <w:rsid w:val="00CE30EA"/>
    <w:rsid w:val="00CE508A"/>
    <w:rsid w:val="00CE552F"/>
    <w:rsid w:val="00CE5583"/>
    <w:rsid w:val="00CE5C94"/>
    <w:rsid w:val="00CE7697"/>
    <w:rsid w:val="00CE7D2D"/>
    <w:rsid w:val="00CF048A"/>
    <w:rsid w:val="00CF05D5"/>
    <w:rsid w:val="00CF0DD5"/>
    <w:rsid w:val="00CF155A"/>
    <w:rsid w:val="00CF1718"/>
    <w:rsid w:val="00CF2947"/>
    <w:rsid w:val="00CF3BD1"/>
    <w:rsid w:val="00CF3C2A"/>
    <w:rsid w:val="00CF3E91"/>
    <w:rsid w:val="00CF40AE"/>
    <w:rsid w:val="00CF41A0"/>
    <w:rsid w:val="00CF4E76"/>
    <w:rsid w:val="00CF5EAF"/>
    <w:rsid w:val="00CF686F"/>
    <w:rsid w:val="00CF68FB"/>
    <w:rsid w:val="00CF6E60"/>
    <w:rsid w:val="00CF6E80"/>
    <w:rsid w:val="00CF7298"/>
    <w:rsid w:val="00CF7426"/>
    <w:rsid w:val="00CF74D6"/>
    <w:rsid w:val="00CF798D"/>
    <w:rsid w:val="00CF7BCA"/>
    <w:rsid w:val="00D00105"/>
    <w:rsid w:val="00D00342"/>
    <w:rsid w:val="00D0047F"/>
    <w:rsid w:val="00D008FD"/>
    <w:rsid w:val="00D014FD"/>
    <w:rsid w:val="00D027EC"/>
    <w:rsid w:val="00D02F1F"/>
    <w:rsid w:val="00D03088"/>
    <w:rsid w:val="00D0321C"/>
    <w:rsid w:val="00D035EC"/>
    <w:rsid w:val="00D036DB"/>
    <w:rsid w:val="00D03796"/>
    <w:rsid w:val="00D03E14"/>
    <w:rsid w:val="00D0516B"/>
    <w:rsid w:val="00D058A3"/>
    <w:rsid w:val="00D06166"/>
    <w:rsid w:val="00D065D5"/>
    <w:rsid w:val="00D06AB1"/>
    <w:rsid w:val="00D06B4E"/>
    <w:rsid w:val="00D072ED"/>
    <w:rsid w:val="00D07A16"/>
    <w:rsid w:val="00D1067E"/>
    <w:rsid w:val="00D10F50"/>
    <w:rsid w:val="00D11272"/>
    <w:rsid w:val="00D11AF6"/>
    <w:rsid w:val="00D11C19"/>
    <w:rsid w:val="00D12214"/>
    <w:rsid w:val="00D126F5"/>
    <w:rsid w:val="00D12BFE"/>
    <w:rsid w:val="00D12CD9"/>
    <w:rsid w:val="00D1321D"/>
    <w:rsid w:val="00D1489E"/>
    <w:rsid w:val="00D14A87"/>
    <w:rsid w:val="00D14E15"/>
    <w:rsid w:val="00D15054"/>
    <w:rsid w:val="00D15552"/>
    <w:rsid w:val="00D16496"/>
    <w:rsid w:val="00D164FB"/>
    <w:rsid w:val="00D16C16"/>
    <w:rsid w:val="00D16C91"/>
    <w:rsid w:val="00D2039F"/>
    <w:rsid w:val="00D20737"/>
    <w:rsid w:val="00D2193A"/>
    <w:rsid w:val="00D21E81"/>
    <w:rsid w:val="00D223DE"/>
    <w:rsid w:val="00D22765"/>
    <w:rsid w:val="00D227DE"/>
    <w:rsid w:val="00D242BE"/>
    <w:rsid w:val="00D244B8"/>
    <w:rsid w:val="00D25E37"/>
    <w:rsid w:val="00D2661A"/>
    <w:rsid w:val="00D267DF"/>
    <w:rsid w:val="00D26EAA"/>
    <w:rsid w:val="00D2702C"/>
    <w:rsid w:val="00D27582"/>
    <w:rsid w:val="00D279B6"/>
    <w:rsid w:val="00D27CF5"/>
    <w:rsid w:val="00D27E7B"/>
    <w:rsid w:val="00D32719"/>
    <w:rsid w:val="00D32E74"/>
    <w:rsid w:val="00D32FA9"/>
    <w:rsid w:val="00D33333"/>
    <w:rsid w:val="00D33374"/>
    <w:rsid w:val="00D338E5"/>
    <w:rsid w:val="00D339BE"/>
    <w:rsid w:val="00D33DA1"/>
    <w:rsid w:val="00D34BD2"/>
    <w:rsid w:val="00D34CB7"/>
    <w:rsid w:val="00D3512C"/>
    <w:rsid w:val="00D352A2"/>
    <w:rsid w:val="00D35BDA"/>
    <w:rsid w:val="00D35FB0"/>
    <w:rsid w:val="00D377AA"/>
    <w:rsid w:val="00D379BF"/>
    <w:rsid w:val="00D37E29"/>
    <w:rsid w:val="00D40A00"/>
    <w:rsid w:val="00D40BC7"/>
    <w:rsid w:val="00D4162B"/>
    <w:rsid w:val="00D42654"/>
    <w:rsid w:val="00D4333E"/>
    <w:rsid w:val="00D4514F"/>
    <w:rsid w:val="00D451E2"/>
    <w:rsid w:val="00D45662"/>
    <w:rsid w:val="00D45D72"/>
    <w:rsid w:val="00D45E89"/>
    <w:rsid w:val="00D45E8D"/>
    <w:rsid w:val="00D466AE"/>
    <w:rsid w:val="00D4734F"/>
    <w:rsid w:val="00D50A37"/>
    <w:rsid w:val="00D51778"/>
    <w:rsid w:val="00D51BF3"/>
    <w:rsid w:val="00D53912"/>
    <w:rsid w:val="00D54834"/>
    <w:rsid w:val="00D54868"/>
    <w:rsid w:val="00D54B98"/>
    <w:rsid w:val="00D55905"/>
    <w:rsid w:val="00D565AD"/>
    <w:rsid w:val="00D56D85"/>
    <w:rsid w:val="00D578EF"/>
    <w:rsid w:val="00D60196"/>
    <w:rsid w:val="00D60574"/>
    <w:rsid w:val="00D608F3"/>
    <w:rsid w:val="00D60C19"/>
    <w:rsid w:val="00D61F29"/>
    <w:rsid w:val="00D62686"/>
    <w:rsid w:val="00D62DCC"/>
    <w:rsid w:val="00D633FF"/>
    <w:rsid w:val="00D637ED"/>
    <w:rsid w:val="00D6607D"/>
    <w:rsid w:val="00D661A7"/>
    <w:rsid w:val="00D66846"/>
    <w:rsid w:val="00D66882"/>
    <w:rsid w:val="00D675FB"/>
    <w:rsid w:val="00D67C1C"/>
    <w:rsid w:val="00D67E27"/>
    <w:rsid w:val="00D67F3C"/>
    <w:rsid w:val="00D7086B"/>
    <w:rsid w:val="00D70F25"/>
    <w:rsid w:val="00D7136C"/>
    <w:rsid w:val="00D71F25"/>
    <w:rsid w:val="00D7215A"/>
    <w:rsid w:val="00D728EB"/>
    <w:rsid w:val="00D729B3"/>
    <w:rsid w:val="00D730DB"/>
    <w:rsid w:val="00D74AAC"/>
    <w:rsid w:val="00D754E6"/>
    <w:rsid w:val="00D757E7"/>
    <w:rsid w:val="00D75822"/>
    <w:rsid w:val="00D75B35"/>
    <w:rsid w:val="00D77031"/>
    <w:rsid w:val="00D77CC5"/>
    <w:rsid w:val="00D80087"/>
    <w:rsid w:val="00D807CC"/>
    <w:rsid w:val="00D808C0"/>
    <w:rsid w:val="00D80C94"/>
    <w:rsid w:val="00D80E3E"/>
    <w:rsid w:val="00D81136"/>
    <w:rsid w:val="00D81C6E"/>
    <w:rsid w:val="00D81F0F"/>
    <w:rsid w:val="00D8226C"/>
    <w:rsid w:val="00D82D99"/>
    <w:rsid w:val="00D83CD2"/>
    <w:rsid w:val="00D841D3"/>
    <w:rsid w:val="00D846F2"/>
    <w:rsid w:val="00D84941"/>
    <w:rsid w:val="00D8496B"/>
    <w:rsid w:val="00D84B44"/>
    <w:rsid w:val="00D84FA1"/>
    <w:rsid w:val="00D851F0"/>
    <w:rsid w:val="00D86476"/>
    <w:rsid w:val="00D866BF"/>
    <w:rsid w:val="00D86801"/>
    <w:rsid w:val="00D86DB7"/>
    <w:rsid w:val="00D874FE"/>
    <w:rsid w:val="00D9016C"/>
    <w:rsid w:val="00D9060C"/>
    <w:rsid w:val="00D90CC8"/>
    <w:rsid w:val="00D90EEE"/>
    <w:rsid w:val="00D91054"/>
    <w:rsid w:val="00D92576"/>
    <w:rsid w:val="00D926D0"/>
    <w:rsid w:val="00D93030"/>
    <w:rsid w:val="00D93E5D"/>
    <w:rsid w:val="00D94A48"/>
    <w:rsid w:val="00D94B91"/>
    <w:rsid w:val="00D94C44"/>
    <w:rsid w:val="00D94E74"/>
    <w:rsid w:val="00D94EB3"/>
    <w:rsid w:val="00D950E1"/>
    <w:rsid w:val="00D952A6"/>
    <w:rsid w:val="00D9543F"/>
    <w:rsid w:val="00D95B56"/>
    <w:rsid w:val="00D95DCC"/>
    <w:rsid w:val="00D95E84"/>
    <w:rsid w:val="00D975CC"/>
    <w:rsid w:val="00D97F99"/>
    <w:rsid w:val="00DA0A72"/>
    <w:rsid w:val="00DA1523"/>
    <w:rsid w:val="00DA1E08"/>
    <w:rsid w:val="00DA24F8"/>
    <w:rsid w:val="00DA28E8"/>
    <w:rsid w:val="00DA38D3"/>
    <w:rsid w:val="00DA3932"/>
    <w:rsid w:val="00DA3AFC"/>
    <w:rsid w:val="00DA4990"/>
    <w:rsid w:val="00DA52AA"/>
    <w:rsid w:val="00DA5C97"/>
    <w:rsid w:val="00DA6276"/>
    <w:rsid w:val="00DA64F8"/>
    <w:rsid w:val="00DA6C15"/>
    <w:rsid w:val="00DA7949"/>
    <w:rsid w:val="00DA7AA7"/>
    <w:rsid w:val="00DB059D"/>
    <w:rsid w:val="00DB0AD5"/>
    <w:rsid w:val="00DB28E4"/>
    <w:rsid w:val="00DB2D08"/>
    <w:rsid w:val="00DB317A"/>
    <w:rsid w:val="00DB38EE"/>
    <w:rsid w:val="00DB43F5"/>
    <w:rsid w:val="00DB45A7"/>
    <w:rsid w:val="00DB498B"/>
    <w:rsid w:val="00DB6363"/>
    <w:rsid w:val="00DB66CA"/>
    <w:rsid w:val="00DB6BCA"/>
    <w:rsid w:val="00DB7113"/>
    <w:rsid w:val="00DB76E2"/>
    <w:rsid w:val="00DB7C53"/>
    <w:rsid w:val="00DC0321"/>
    <w:rsid w:val="00DC044E"/>
    <w:rsid w:val="00DC0F00"/>
    <w:rsid w:val="00DC15F0"/>
    <w:rsid w:val="00DC1621"/>
    <w:rsid w:val="00DC2FBE"/>
    <w:rsid w:val="00DC3067"/>
    <w:rsid w:val="00DC370B"/>
    <w:rsid w:val="00DC5B90"/>
    <w:rsid w:val="00DC5C20"/>
    <w:rsid w:val="00DC60B4"/>
    <w:rsid w:val="00DD00FF"/>
    <w:rsid w:val="00DD057E"/>
    <w:rsid w:val="00DD0619"/>
    <w:rsid w:val="00DD07FB"/>
    <w:rsid w:val="00DD0F00"/>
    <w:rsid w:val="00DD2554"/>
    <w:rsid w:val="00DD25C6"/>
    <w:rsid w:val="00DD2B81"/>
    <w:rsid w:val="00DD2DD1"/>
    <w:rsid w:val="00DD315B"/>
    <w:rsid w:val="00DD3F2D"/>
    <w:rsid w:val="00DD43C6"/>
    <w:rsid w:val="00DD43FC"/>
    <w:rsid w:val="00DD4FE5"/>
    <w:rsid w:val="00DD54B0"/>
    <w:rsid w:val="00DD57EE"/>
    <w:rsid w:val="00DD6004"/>
    <w:rsid w:val="00DD6594"/>
    <w:rsid w:val="00DD697E"/>
    <w:rsid w:val="00DD6BCC"/>
    <w:rsid w:val="00DD6F99"/>
    <w:rsid w:val="00DD706A"/>
    <w:rsid w:val="00DD7315"/>
    <w:rsid w:val="00DE0A4B"/>
    <w:rsid w:val="00DE2410"/>
    <w:rsid w:val="00DE2939"/>
    <w:rsid w:val="00DE3E3A"/>
    <w:rsid w:val="00DE4985"/>
    <w:rsid w:val="00DE4C13"/>
    <w:rsid w:val="00DE5138"/>
    <w:rsid w:val="00DE5505"/>
    <w:rsid w:val="00DE5929"/>
    <w:rsid w:val="00DE5B23"/>
    <w:rsid w:val="00DE6CD2"/>
    <w:rsid w:val="00DE6E81"/>
    <w:rsid w:val="00DE703F"/>
    <w:rsid w:val="00DE7595"/>
    <w:rsid w:val="00DE792E"/>
    <w:rsid w:val="00DE7F23"/>
    <w:rsid w:val="00DF00CF"/>
    <w:rsid w:val="00DF059D"/>
    <w:rsid w:val="00DF1961"/>
    <w:rsid w:val="00DF222E"/>
    <w:rsid w:val="00DF27D7"/>
    <w:rsid w:val="00DF44DE"/>
    <w:rsid w:val="00DF48AB"/>
    <w:rsid w:val="00DF4A10"/>
    <w:rsid w:val="00DF6F9D"/>
    <w:rsid w:val="00DF7660"/>
    <w:rsid w:val="00DF7D2B"/>
    <w:rsid w:val="00E01138"/>
    <w:rsid w:val="00E01140"/>
    <w:rsid w:val="00E01AE9"/>
    <w:rsid w:val="00E01C01"/>
    <w:rsid w:val="00E02538"/>
    <w:rsid w:val="00E02DFB"/>
    <w:rsid w:val="00E030F9"/>
    <w:rsid w:val="00E0311A"/>
    <w:rsid w:val="00E03138"/>
    <w:rsid w:val="00E03839"/>
    <w:rsid w:val="00E046BB"/>
    <w:rsid w:val="00E05525"/>
    <w:rsid w:val="00E058CA"/>
    <w:rsid w:val="00E06404"/>
    <w:rsid w:val="00E104A4"/>
    <w:rsid w:val="00E10E7B"/>
    <w:rsid w:val="00E10EB8"/>
    <w:rsid w:val="00E11A85"/>
    <w:rsid w:val="00E1218C"/>
    <w:rsid w:val="00E12495"/>
    <w:rsid w:val="00E124B1"/>
    <w:rsid w:val="00E1291E"/>
    <w:rsid w:val="00E14293"/>
    <w:rsid w:val="00E14884"/>
    <w:rsid w:val="00E15CCD"/>
    <w:rsid w:val="00E15D9E"/>
    <w:rsid w:val="00E161B2"/>
    <w:rsid w:val="00E16321"/>
    <w:rsid w:val="00E175DA"/>
    <w:rsid w:val="00E17604"/>
    <w:rsid w:val="00E177B7"/>
    <w:rsid w:val="00E17ACC"/>
    <w:rsid w:val="00E202EF"/>
    <w:rsid w:val="00E210B5"/>
    <w:rsid w:val="00E21536"/>
    <w:rsid w:val="00E21633"/>
    <w:rsid w:val="00E21924"/>
    <w:rsid w:val="00E21973"/>
    <w:rsid w:val="00E21B41"/>
    <w:rsid w:val="00E22342"/>
    <w:rsid w:val="00E224ED"/>
    <w:rsid w:val="00E250E2"/>
    <w:rsid w:val="00E2552F"/>
    <w:rsid w:val="00E25C2C"/>
    <w:rsid w:val="00E25EA9"/>
    <w:rsid w:val="00E2621D"/>
    <w:rsid w:val="00E27663"/>
    <w:rsid w:val="00E27B94"/>
    <w:rsid w:val="00E304B9"/>
    <w:rsid w:val="00E30FA8"/>
    <w:rsid w:val="00E312B7"/>
    <w:rsid w:val="00E3137A"/>
    <w:rsid w:val="00E31E1F"/>
    <w:rsid w:val="00E31F46"/>
    <w:rsid w:val="00E31FC2"/>
    <w:rsid w:val="00E32213"/>
    <w:rsid w:val="00E323AE"/>
    <w:rsid w:val="00E32C58"/>
    <w:rsid w:val="00E32CCF"/>
    <w:rsid w:val="00E33542"/>
    <w:rsid w:val="00E34A98"/>
    <w:rsid w:val="00E357CF"/>
    <w:rsid w:val="00E35D1E"/>
    <w:rsid w:val="00E364DE"/>
    <w:rsid w:val="00E364F9"/>
    <w:rsid w:val="00E365FA"/>
    <w:rsid w:val="00E36789"/>
    <w:rsid w:val="00E36CC5"/>
    <w:rsid w:val="00E36EB1"/>
    <w:rsid w:val="00E371AD"/>
    <w:rsid w:val="00E37502"/>
    <w:rsid w:val="00E3770C"/>
    <w:rsid w:val="00E37BD9"/>
    <w:rsid w:val="00E409E3"/>
    <w:rsid w:val="00E40A8F"/>
    <w:rsid w:val="00E4198D"/>
    <w:rsid w:val="00E41E81"/>
    <w:rsid w:val="00E4224B"/>
    <w:rsid w:val="00E4259F"/>
    <w:rsid w:val="00E42D3A"/>
    <w:rsid w:val="00E43043"/>
    <w:rsid w:val="00E434CC"/>
    <w:rsid w:val="00E43EB4"/>
    <w:rsid w:val="00E44A83"/>
    <w:rsid w:val="00E4501D"/>
    <w:rsid w:val="00E463B8"/>
    <w:rsid w:val="00E46826"/>
    <w:rsid w:val="00E47416"/>
    <w:rsid w:val="00E502C1"/>
    <w:rsid w:val="00E502DD"/>
    <w:rsid w:val="00E50511"/>
    <w:rsid w:val="00E50A53"/>
    <w:rsid w:val="00E50D3A"/>
    <w:rsid w:val="00E51387"/>
    <w:rsid w:val="00E51E68"/>
    <w:rsid w:val="00E52D26"/>
    <w:rsid w:val="00E52E08"/>
    <w:rsid w:val="00E52EFD"/>
    <w:rsid w:val="00E53111"/>
    <w:rsid w:val="00E5408A"/>
    <w:rsid w:val="00E546E6"/>
    <w:rsid w:val="00E54823"/>
    <w:rsid w:val="00E5489D"/>
    <w:rsid w:val="00E557B2"/>
    <w:rsid w:val="00E56800"/>
    <w:rsid w:val="00E56C32"/>
    <w:rsid w:val="00E576B9"/>
    <w:rsid w:val="00E57F90"/>
    <w:rsid w:val="00E60876"/>
    <w:rsid w:val="00E61951"/>
    <w:rsid w:val="00E61C54"/>
    <w:rsid w:val="00E62FF9"/>
    <w:rsid w:val="00E63536"/>
    <w:rsid w:val="00E635D6"/>
    <w:rsid w:val="00E639BC"/>
    <w:rsid w:val="00E642A5"/>
    <w:rsid w:val="00E64419"/>
    <w:rsid w:val="00E65310"/>
    <w:rsid w:val="00E664CC"/>
    <w:rsid w:val="00E67301"/>
    <w:rsid w:val="00E70388"/>
    <w:rsid w:val="00E7072E"/>
    <w:rsid w:val="00E70B15"/>
    <w:rsid w:val="00E70F92"/>
    <w:rsid w:val="00E713A5"/>
    <w:rsid w:val="00E7145E"/>
    <w:rsid w:val="00E71503"/>
    <w:rsid w:val="00E71D5F"/>
    <w:rsid w:val="00E736A5"/>
    <w:rsid w:val="00E745D0"/>
    <w:rsid w:val="00E74C54"/>
    <w:rsid w:val="00E75AF0"/>
    <w:rsid w:val="00E75B0E"/>
    <w:rsid w:val="00E766E9"/>
    <w:rsid w:val="00E76AD9"/>
    <w:rsid w:val="00E76C0D"/>
    <w:rsid w:val="00E77A03"/>
    <w:rsid w:val="00E77D92"/>
    <w:rsid w:val="00E80467"/>
    <w:rsid w:val="00E80798"/>
    <w:rsid w:val="00E807B6"/>
    <w:rsid w:val="00E8100E"/>
    <w:rsid w:val="00E81D0A"/>
    <w:rsid w:val="00E822E8"/>
    <w:rsid w:val="00E82554"/>
    <w:rsid w:val="00E82606"/>
    <w:rsid w:val="00E8268A"/>
    <w:rsid w:val="00E82871"/>
    <w:rsid w:val="00E82C49"/>
    <w:rsid w:val="00E83E77"/>
    <w:rsid w:val="00E8407C"/>
    <w:rsid w:val="00E846C8"/>
    <w:rsid w:val="00E84957"/>
    <w:rsid w:val="00E84A55"/>
    <w:rsid w:val="00E84B55"/>
    <w:rsid w:val="00E851CA"/>
    <w:rsid w:val="00E85354"/>
    <w:rsid w:val="00E85A6E"/>
    <w:rsid w:val="00E85BFF"/>
    <w:rsid w:val="00E90391"/>
    <w:rsid w:val="00E906C2"/>
    <w:rsid w:val="00E9070B"/>
    <w:rsid w:val="00E911E4"/>
    <w:rsid w:val="00E93061"/>
    <w:rsid w:val="00E9311F"/>
    <w:rsid w:val="00E934D1"/>
    <w:rsid w:val="00E94AF0"/>
    <w:rsid w:val="00E950EC"/>
    <w:rsid w:val="00E954B5"/>
    <w:rsid w:val="00E95A15"/>
    <w:rsid w:val="00E95C64"/>
    <w:rsid w:val="00E95D13"/>
    <w:rsid w:val="00E95DD3"/>
    <w:rsid w:val="00E9604C"/>
    <w:rsid w:val="00E969D5"/>
    <w:rsid w:val="00E96AB9"/>
    <w:rsid w:val="00E97456"/>
    <w:rsid w:val="00E97721"/>
    <w:rsid w:val="00E97985"/>
    <w:rsid w:val="00EA0462"/>
    <w:rsid w:val="00EA131E"/>
    <w:rsid w:val="00EA2500"/>
    <w:rsid w:val="00EA357F"/>
    <w:rsid w:val="00EA5558"/>
    <w:rsid w:val="00EA58D1"/>
    <w:rsid w:val="00EA590B"/>
    <w:rsid w:val="00EA61BC"/>
    <w:rsid w:val="00EA681A"/>
    <w:rsid w:val="00EA6A85"/>
    <w:rsid w:val="00EA6F7D"/>
    <w:rsid w:val="00EA703E"/>
    <w:rsid w:val="00EA735B"/>
    <w:rsid w:val="00EA7771"/>
    <w:rsid w:val="00EA796A"/>
    <w:rsid w:val="00EA7E6E"/>
    <w:rsid w:val="00EB19F3"/>
    <w:rsid w:val="00EB1C02"/>
    <w:rsid w:val="00EB1CD7"/>
    <w:rsid w:val="00EB1E69"/>
    <w:rsid w:val="00EB2086"/>
    <w:rsid w:val="00EB2155"/>
    <w:rsid w:val="00EB33D0"/>
    <w:rsid w:val="00EB3C46"/>
    <w:rsid w:val="00EB4017"/>
    <w:rsid w:val="00EB4C5D"/>
    <w:rsid w:val="00EB5EDF"/>
    <w:rsid w:val="00EB60FE"/>
    <w:rsid w:val="00EB713C"/>
    <w:rsid w:val="00EB74DB"/>
    <w:rsid w:val="00EC092C"/>
    <w:rsid w:val="00EC2353"/>
    <w:rsid w:val="00EC29E8"/>
    <w:rsid w:val="00EC4AF1"/>
    <w:rsid w:val="00EC5359"/>
    <w:rsid w:val="00EC562A"/>
    <w:rsid w:val="00EC6530"/>
    <w:rsid w:val="00EC67CB"/>
    <w:rsid w:val="00EC77A2"/>
    <w:rsid w:val="00ED018B"/>
    <w:rsid w:val="00ED067A"/>
    <w:rsid w:val="00ED0A01"/>
    <w:rsid w:val="00ED22D4"/>
    <w:rsid w:val="00ED299E"/>
    <w:rsid w:val="00ED2B50"/>
    <w:rsid w:val="00ED3196"/>
    <w:rsid w:val="00ED3455"/>
    <w:rsid w:val="00ED6A80"/>
    <w:rsid w:val="00EE0350"/>
    <w:rsid w:val="00EE0719"/>
    <w:rsid w:val="00EE0E80"/>
    <w:rsid w:val="00EE113E"/>
    <w:rsid w:val="00EE1B0C"/>
    <w:rsid w:val="00EE1B44"/>
    <w:rsid w:val="00EE21B4"/>
    <w:rsid w:val="00EE3698"/>
    <w:rsid w:val="00EE417A"/>
    <w:rsid w:val="00EE4D39"/>
    <w:rsid w:val="00EE5BBF"/>
    <w:rsid w:val="00EE613F"/>
    <w:rsid w:val="00EE6D1C"/>
    <w:rsid w:val="00EE7149"/>
    <w:rsid w:val="00EE7295"/>
    <w:rsid w:val="00EE731E"/>
    <w:rsid w:val="00EE7440"/>
    <w:rsid w:val="00EE7869"/>
    <w:rsid w:val="00EF01FE"/>
    <w:rsid w:val="00EF054A"/>
    <w:rsid w:val="00EF11DE"/>
    <w:rsid w:val="00EF182E"/>
    <w:rsid w:val="00EF1A14"/>
    <w:rsid w:val="00EF2464"/>
    <w:rsid w:val="00EF2AEE"/>
    <w:rsid w:val="00EF3235"/>
    <w:rsid w:val="00EF39FB"/>
    <w:rsid w:val="00EF3D34"/>
    <w:rsid w:val="00EF3EE4"/>
    <w:rsid w:val="00EF4532"/>
    <w:rsid w:val="00EF48FE"/>
    <w:rsid w:val="00EF4EE6"/>
    <w:rsid w:val="00EF543D"/>
    <w:rsid w:val="00EF5BA2"/>
    <w:rsid w:val="00EF6741"/>
    <w:rsid w:val="00EF7E72"/>
    <w:rsid w:val="00F00003"/>
    <w:rsid w:val="00F007A9"/>
    <w:rsid w:val="00F00F46"/>
    <w:rsid w:val="00F010EF"/>
    <w:rsid w:val="00F0140A"/>
    <w:rsid w:val="00F01542"/>
    <w:rsid w:val="00F0168D"/>
    <w:rsid w:val="00F01A35"/>
    <w:rsid w:val="00F01D98"/>
    <w:rsid w:val="00F03315"/>
    <w:rsid w:val="00F03562"/>
    <w:rsid w:val="00F04D99"/>
    <w:rsid w:val="00F05C21"/>
    <w:rsid w:val="00F066F3"/>
    <w:rsid w:val="00F06B86"/>
    <w:rsid w:val="00F06D37"/>
    <w:rsid w:val="00F07661"/>
    <w:rsid w:val="00F077BD"/>
    <w:rsid w:val="00F07981"/>
    <w:rsid w:val="00F07B9D"/>
    <w:rsid w:val="00F10926"/>
    <w:rsid w:val="00F10D4F"/>
    <w:rsid w:val="00F1115F"/>
    <w:rsid w:val="00F11586"/>
    <w:rsid w:val="00F1183B"/>
    <w:rsid w:val="00F11A50"/>
    <w:rsid w:val="00F11C9F"/>
    <w:rsid w:val="00F12263"/>
    <w:rsid w:val="00F126BC"/>
    <w:rsid w:val="00F128FC"/>
    <w:rsid w:val="00F1348B"/>
    <w:rsid w:val="00F1409D"/>
    <w:rsid w:val="00F14214"/>
    <w:rsid w:val="00F148A5"/>
    <w:rsid w:val="00F157A9"/>
    <w:rsid w:val="00F17151"/>
    <w:rsid w:val="00F17905"/>
    <w:rsid w:val="00F17A46"/>
    <w:rsid w:val="00F17ADF"/>
    <w:rsid w:val="00F20148"/>
    <w:rsid w:val="00F2045E"/>
    <w:rsid w:val="00F212D9"/>
    <w:rsid w:val="00F228DC"/>
    <w:rsid w:val="00F22F41"/>
    <w:rsid w:val="00F22F8F"/>
    <w:rsid w:val="00F233BE"/>
    <w:rsid w:val="00F23DD0"/>
    <w:rsid w:val="00F24783"/>
    <w:rsid w:val="00F24FCF"/>
    <w:rsid w:val="00F253D2"/>
    <w:rsid w:val="00F25BB6"/>
    <w:rsid w:val="00F263F6"/>
    <w:rsid w:val="00F26B7E"/>
    <w:rsid w:val="00F26E8D"/>
    <w:rsid w:val="00F27367"/>
    <w:rsid w:val="00F2766A"/>
    <w:rsid w:val="00F27A3B"/>
    <w:rsid w:val="00F27A75"/>
    <w:rsid w:val="00F3326D"/>
    <w:rsid w:val="00F335AE"/>
    <w:rsid w:val="00F33817"/>
    <w:rsid w:val="00F34324"/>
    <w:rsid w:val="00F3447F"/>
    <w:rsid w:val="00F34F7C"/>
    <w:rsid w:val="00F360B2"/>
    <w:rsid w:val="00F36737"/>
    <w:rsid w:val="00F36D63"/>
    <w:rsid w:val="00F374F8"/>
    <w:rsid w:val="00F415C1"/>
    <w:rsid w:val="00F420D5"/>
    <w:rsid w:val="00F42C50"/>
    <w:rsid w:val="00F4337E"/>
    <w:rsid w:val="00F444F2"/>
    <w:rsid w:val="00F451EA"/>
    <w:rsid w:val="00F45447"/>
    <w:rsid w:val="00F456C6"/>
    <w:rsid w:val="00F4577B"/>
    <w:rsid w:val="00F45C95"/>
    <w:rsid w:val="00F46496"/>
    <w:rsid w:val="00F47296"/>
    <w:rsid w:val="00F47359"/>
    <w:rsid w:val="00F474D0"/>
    <w:rsid w:val="00F50179"/>
    <w:rsid w:val="00F506D5"/>
    <w:rsid w:val="00F50C74"/>
    <w:rsid w:val="00F52B4D"/>
    <w:rsid w:val="00F53140"/>
    <w:rsid w:val="00F5381C"/>
    <w:rsid w:val="00F540D4"/>
    <w:rsid w:val="00F54338"/>
    <w:rsid w:val="00F54D13"/>
    <w:rsid w:val="00F55339"/>
    <w:rsid w:val="00F554E8"/>
    <w:rsid w:val="00F55DD0"/>
    <w:rsid w:val="00F56511"/>
    <w:rsid w:val="00F56612"/>
    <w:rsid w:val="00F56782"/>
    <w:rsid w:val="00F568F4"/>
    <w:rsid w:val="00F56CDC"/>
    <w:rsid w:val="00F574CE"/>
    <w:rsid w:val="00F57918"/>
    <w:rsid w:val="00F57CAC"/>
    <w:rsid w:val="00F601EB"/>
    <w:rsid w:val="00F61902"/>
    <w:rsid w:val="00F6194E"/>
    <w:rsid w:val="00F61C46"/>
    <w:rsid w:val="00F622A1"/>
    <w:rsid w:val="00F623AC"/>
    <w:rsid w:val="00F624EC"/>
    <w:rsid w:val="00F62DBA"/>
    <w:rsid w:val="00F6412A"/>
    <w:rsid w:val="00F642C9"/>
    <w:rsid w:val="00F65893"/>
    <w:rsid w:val="00F66A4A"/>
    <w:rsid w:val="00F67541"/>
    <w:rsid w:val="00F6778F"/>
    <w:rsid w:val="00F678CD"/>
    <w:rsid w:val="00F67C8D"/>
    <w:rsid w:val="00F70779"/>
    <w:rsid w:val="00F713B3"/>
    <w:rsid w:val="00F71E22"/>
    <w:rsid w:val="00F72142"/>
    <w:rsid w:val="00F72353"/>
    <w:rsid w:val="00F72AE7"/>
    <w:rsid w:val="00F75642"/>
    <w:rsid w:val="00F76D4F"/>
    <w:rsid w:val="00F7773D"/>
    <w:rsid w:val="00F778CB"/>
    <w:rsid w:val="00F77A5C"/>
    <w:rsid w:val="00F77D98"/>
    <w:rsid w:val="00F80FFA"/>
    <w:rsid w:val="00F825AA"/>
    <w:rsid w:val="00F833BA"/>
    <w:rsid w:val="00F83514"/>
    <w:rsid w:val="00F8399F"/>
    <w:rsid w:val="00F84177"/>
    <w:rsid w:val="00F84FD0"/>
    <w:rsid w:val="00F859A8"/>
    <w:rsid w:val="00F865C1"/>
    <w:rsid w:val="00F8684F"/>
    <w:rsid w:val="00F874CB"/>
    <w:rsid w:val="00F9108B"/>
    <w:rsid w:val="00F91349"/>
    <w:rsid w:val="00F91AF8"/>
    <w:rsid w:val="00F91B89"/>
    <w:rsid w:val="00F92D0A"/>
    <w:rsid w:val="00F9317B"/>
    <w:rsid w:val="00F93A8A"/>
    <w:rsid w:val="00F94F20"/>
    <w:rsid w:val="00F95248"/>
    <w:rsid w:val="00F95374"/>
    <w:rsid w:val="00F956A9"/>
    <w:rsid w:val="00F963ED"/>
    <w:rsid w:val="00F966AB"/>
    <w:rsid w:val="00F966CF"/>
    <w:rsid w:val="00F96CAE"/>
    <w:rsid w:val="00F972B4"/>
    <w:rsid w:val="00F97847"/>
    <w:rsid w:val="00F97C99"/>
    <w:rsid w:val="00FA0660"/>
    <w:rsid w:val="00FA19DD"/>
    <w:rsid w:val="00FA1A90"/>
    <w:rsid w:val="00FA1B59"/>
    <w:rsid w:val="00FA215F"/>
    <w:rsid w:val="00FA29D3"/>
    <w:rsid w:val="00FA2C05"/>
    <w:rsid w:val="00FA32D5"/>
    <w:rsid w:val="00FA3BE5"/>
    <w:rsid w:val="00FA3F5E"/>
    <w:rsid w:val="00FA4354"/>
    <w:rsid w:val="00FA5956"/>
    <w:rsid w:val="00FA5C66"/>
    <w:rsid w:val="00FA662D"/>
    <w:rsid w:val="00FA6730"/>
    <w:rsid w:val="00FA69EF"/>
    <w:rsid w:val="00FA73B1"/>
    <w:rsid w:val="00FB00ED"/>
    <w:rsid w:val="00FB0CB9"/>
    <w:rsid w:val="00FB19F7"/>
    <w:rsid w:val="00FB2188"/>
    <w:rsid w:val="00FB3467"/>
    <w:rsid w:val="00FB3C51"/>
    <w:rsid w:val="00FB45F1"/>
    <w:rsid w:val="00FB4A72"/>
    <w:rsid w:val="00FB4CDD"/>
    <w:rsid w:val="00FB50F6"/>
    <w:rsid w:val="00FB5465"/>
    <w:rsid w:val="00FB54E8"/>
    <w:rsid w:val="00FB5BDD"/>
    <w:rsid w:val="00FB7054"/>
    <w:rsid w:val="00FB720E"/>
    <w:rsid w:val="00FC17B7"/>
    <w:rsid w:val="00FC1ACB"/>
    <w:rsid w:val="00FC1D25"/>
    <w:rsid w:val="00FC2823"/>
    <w:rsid w:val="00FC2CB7"/>
    <w:rsid w:val="00FC4090"/>
    <w:rsid w:val="00FC4908"/>
    <w:rsid w:val="00FC492B"/>
    <w:rsid w:val="00FC4C02"/>
    <w:rsid w:val="00FC4C09"/>
    <w:rsid w:val="00FC4D2F"/>
    <w:rsid w:val="00FC4F3B"/>
    <w:rsid w:val="00FC55B4"/>
    <w:rsid w:val="00FC5CE8"/>
    <w:rsid w:val="00FC63F1"/>
    <w:rsid w:val="00FC6665"/>
    <w:rsid w:val="00FC7092"/>
    <w:rsid w:val="00FC726C"/>
    <w:rsid w:val="00FC733D"/>
    <w:rsid w:val="00FC7B43"/>
    <w:rsid w:val="00FD00E6"/>
    <w:rsid w:val="00FD050D"/>
    <w:rsid w:val="00FD0753"/>
    <w:rsid w:val="00FD09A1"/>
    <w:rsid w:val="00FD0B39"/>
    <w:rsid w:val="00FD1346"/>
    <w:rsid w:val="00FD16C7"/>
    <w:rsid w:val="00FD1BC0"/>
    <w:rsid w:val="00FD2744"/>
    <w:rsid w:val="00FD2A7C"/>
    <w:rsid w:val="00FD32A7"/>
    <w:rsid w:val="00FD33D4"/>
    <w:rsid w:val="00FD3EE0"/>
    <w:rsid w:val="00FD4D7D"/>
    <w:rsid w:val="00FD5776"/>
    <w:rsid w:val="00FD59EB"/>
    <w:rsid w:val="00FD70C5"/>
    <w:rsid w:val="00FD7146"/>
    <w:rsid w:val="00FD7299"/>
    <w:rsid w:val="00FD76EA"/>
    <w:rsid w:val="00FE06BB"/>
    <w:rsid w:val="00FE0BC5"/>
    <w:rsid w:val="00FE1FBE"/>
    <w:rsid w:val="00FE2313"/>
    <w:rsid w:val="00FE33CF"/>
    <w:rsid w:val="00FE3901"/>
    <w:rsid w:val="00FE39D3"/>
    <w:rsid w:val="00FE3DFF"/>
    <w:rsid w:val="00FE44F8"/>
    <w:rsid w:val="00FE4A01"/>
    <w:rsid w:val="00FE4BCE"/>
    <w:rsid w:val="00FE4F62"/>
    <w:rsid w:val="00FE54AE"/>
    <w:rsid w:val="00FE576A"/>
    <w:rsid w:val="00FE64D4"/>
    <w:rsid w:val="00FE7E79"/>
    <w:rsid w:val="00FF01C5"/>
    <w:rsid w:val="00FF0409"/>
    <w:rsid w:val="00FF0746"/>
    <w:rsid w:val="00FF1FD8"/>
    <w:rsid w:val="00FF27E5"/>
    <w:rsid w:val="00FF3878"/>
    <w:rsid w:val="00FF3B3F"/>
    <w:rsid w:val="00FF3E7D"/>
    <w:rsid w:val="00FF5267"/>
    <w:rsid w:val="00FF58B9"/>
    <w:rsid w:val="00FF5B99"/>
    <w:rsid w:val="00FF6FFB"/>
    <w:rsid w:val="00FF730C"/>
    <w:rsid w:val="00FF73F4"/>
    <w:rsid w:val="00FF7CE4"/>
    <w:rsid w:val="00FF7E39"/>
    <w:rsid w:val="01101E68"/>
    <w:rsid w:val="011253ED"/>
    <w:rsid w:val="0127533C"/>
    <w:rsid w:val="0130677E"/>
    <w:rsid w:val="01565F5E"/>
    <w:rsid w:val="018E0E0A"/>
    <w:rsid w:val="02A64ED3"/>
    <w:rsid w:val="02F32FFC"/>
    <w:rsid w:val="02F54FC6"/>
    <w:rsid w:val="033602C7"/>
    <w:rsid w:val="038F2958"/>
    <w:rsid w:val="03E94B2B"/>
    <w:rsid w:val="04054C78"/>
    <w:rsid w:val="0420666F"/>
    <w:rsid w:val="04405650"/>
    <w:rsid w:val="046D041E"/>
    <w:rsid w:val="04753FA9"/>
    <w:rsid w:val="04A929C1"/>
    <w:rsid w:val="04F25C61"/>
    <w:rsid w:val="055A7222"/>
    <w:rsid w:val="056874C6"/>
    <w:rsid w:val="061B2F96"/>
    <w:rsid w:val="06AA1884"/>
    <w:rsid w:val="06C40F0D"/>
    <w:rsid w:val="06F04422"/>
    <w:rsid w:val="072C1997"/>
    <w:rsid w:val="07391925"/>
    <w:rsid w:val="076D7821"/>
    <w:rsid w:val="07A47D1B"/>
    <w:rsid w:val="07A66F04"/>
    <w:rsid w:val="07E506B6"/>
    <w:rsid w:val="07F97307"/>
    <w:rsid w:val="08144141"/>
    <w:rsid w:val="083247BC"/>
    <w:rsid w:val="087C55C4"/>
    <w:rsid w:val="088B47B5"/>
    <w:rsid w:val="08BD2817"/>
    <w:rsid w:val="08C1759F"/>
    <w:rsid w:val="08D8516E"/>
    <w:rsid w:val="091C32AD"/>
    <w:rsid w:val="09465634"/>
    <w:rsid w:val="094E5430"/>
    <w:rsid w:val="09DB6188"/>
    <w:rsid w:val="0A51179B"/>
    <w:rsid w:val="0A7669ED"/>
    <w:rsid w:val="0B275F39"/>
    <w:rsid w:val="0BA86FFA"/>
    <w:rsid w:val="0BBC3C09"/>
    <w:rsid w:val="0C16356B"/>
    <w:rsid w:val="0C1754B3"/>
    <w:rsid w:val="0C2F779B"/>
    <w:rsid w:val="0C362CB0"/>
    <w:rsid w:val="0C364685"/>
    <w:rsid w:val="0D147266"/>
    <w:rsid w:val="0DF06AB6"/>
    <w:rsid w:val="0E0030E0"/>
    <w:rsid w:val="0E1053AA"/>
    <w:rsid w:val="0E1A3B33"/>
    <w:rsid w:val="0E4D04CC"/>
    <w:rsid w:val="0E8B4F8E"/>
    <w:rsid w:val="0EAE6089"/>
    <w:rsid w:val="0ECF2B6F"/>
    <w:rsid w:val="0ED02F14"/>
    <w:rsid w:val="0EEF6D6E"/>
    <w:rsid w:val="0F20071C"/>
    <w:rsid w:val="0F59068B"/>
    <w:rsid w:val="0F606E8A"/>
    <w:rsid w:val="0FA77648"/>
    <w:rsid w:val="102E6E98"/>
    <w:rsid w:val="104B0241"/>
    <w:rsid w:val="10564652"/>
    <w:rsid w:val="10C25773"/>
    <w:rsid w:val="114209D6"/>
    <w:rsid w:val="115E2631"/>
    <w:rsid w:val="117F6F84"/>
    <w:rsid w:val="118C418F"/>
    <w:rsid w:val="119B18B2"/>
    <w:rsid w:val="11C7675F"/>
    <w:rsid w:val="11CD3799"/>
    <w:rsid w:val="11D230A2"/>
    <w:rsid w:val="11DF30C9"/>
    <w:rsid w:val="120F5BA7"/>
    <w:rsid w:val="12274A70"/>
    <w:rsid w:val="1240437D"/>
    <w:rsid w:val="128819B3"/>
    <w:rsid w:val="12E63B24"/>
    <w:rsid w:val="1305137A"/>
    <w:rsid w:val="13307F9A"/>
    <w:rsid w:val="136A10B9"/>
    <w:rsid w:val="13F16A4B"/>
    <w:rsid w:val="14005579"/>
    <w:rsid w:val="140C06EB"/>
    <w:rsid w:val="149B034A"/>
    <w:rsid w:val="14EC647A"/>
    <w:rsid w:val="15334C85"/>
    <w:rsid w:val="15666ECD"/>
    <w:rsid w:val="15CD16BF"/>
    <w:rsid w:val="15DE6668"/>
    <w:rsid w:val="1640666E"/>
    <w:rsid w:val="16472EFA"/>
    <w:rsid w:val="169350B7"/>
    <w:rsid w:val="16AC3E4B"/>
    <w:rsid w:val="173B6FF4"/>
    <w:rsid w:val="17877C80"/>
    <w:rsid w:val="17A87872"/>
    <w:rsid w:val="17B72C48"/>
    <w:rsid w:val="1844012A"/>
    <w:rsid w:val="18C73A77"/>
    <w:rsid w:val="18D271F5"/>
    <w:rsid w:val="18D8576E"/>
    <w:rsid w:val="18DE54A2"/>
    <w:rsid w:val="19037FE5"/>
    <w:rsid w:val="194A79C2"/>
    <w:rsid w:val="19742C91"/>
    <w:rsid w:val="197B7B7C"/>
    <w:rsid w:val="19C239FC"/>
    <w:rsid w:val="1A134258"/>
    <w:rsid w:val="1A900722"/>
    <w:rsid w:val="1B0D514B"/>
    <w:rsid w:val="1B226F75"/>
    <w:rsid w:val="1B55049A"/>
    <w:rsid w:val="1BC51582"/>
    <w:rsid w:val="1CAC6E33"/>
    <w:rsid w:val="1CDC3027"/>
    <w:rsid w:val="1D156539"/>
    <w:rsid w:val="1D1A76AB"/>
    <w:rsid w:val="1D4A4435"/>
    <w:rsid w:val="1D676B8C"/>
    <w:rsid w:val="1D9A65EB"/>
    <w:rsid w:val="1E0839A8"/>
    <w:rsid w:val="1E6A6BA1"/>
    <w:rsid w:val="1E8F3ACE"/>
    <w:rsid w:val="1E8F565E"/>
    <w:rsid w:val="1ED57D2E"/>
    <w:rsid w:val="1F083A83"/>
    <w:rsid w:val="1F5E41C7"/>
    <w:rsid w:val="1F6B32B7"/>
    <w:rsid w:val="1FAC53B9"/>
    <w:rsid w:val="1FB848F7"/>
    <w:rsid w:val="20386F94"/>
    <w:rsid w:val="204A64FA"/>
    <w:rsid w:val="209634ED"/>
    <w:rsid w:val="209B6D55"/>
    <w:rsid w:val="20DA1129"/>
    <w:rsid w:val="211C0D9A"/>
    <w:rsid w:val="21A810FD"/>
    <w:rsid w:val="21DF154B"/>
    <w:rsid w:val="21E3381E"/>
    <w:rsid w:val="21E96290"/>
    <w:rsid w:val="222C0AFC"/>
    <w:rsid w:val="22585F6A"/>
    <w:rsid w:val="23204D36"/>
    <w:rsid w:val="234763BD"/>
    <w:rsid w:val="236E69A3"/>
    <w:rsid w:val="23A75A11"/>
    <w:rsid w:val="23BB5F16"/>
    <w:rsid w:val="23D04F68"/>
    <w:rsid w:val="240951B5"/>
    <w:rsid w:val="24443600"/>
    <w:rsid w:val="24C705E1"/>
    <w:rsid w:val="24EE2881"/>
    <w:rsid w:val="250111C9"/>
    <w:rsid w:val="250D59BB"/>
    <w:rsid w:val="25C24D84"/>
    <w:rsid w:val="26055B84"/>
    <w:rsid w:val="262E234F"/>
    <w:rsid w:val="264C1C5C"/>
    <w:rsid w:val="26946721"/>
    <w:rsid w:val="269B185D"/>
    <w:rsid w:val="269C3827"/>
    <w:rsid w:val="26C8461C"/>
    <w:rsid w:val="26F23447"/>
    <w:rsid w:val="27117D71"/>
    <w:rsid w:val="27167136"/>
    <w:rsid w:val="27695245"/>
    <w:rsid w:val="27EF27AC"/>
    <w:rsid w:val="27FC7D0D"/>
    <w:rsid w:val="2815563F"/>
    <w:rsid w:val="28494703"/>
    <w:rsid w:val="287C121A"/>
    <w:rsid w:val="288D6667"/>
    <w:rsid w:val="298011DE"/>
    <w:rsid w:val="29E4176D"/>
    <w:rsid w:val="2A033534"/>
    <w:rsid w:val="2A1B0A25"/>
    <w:rsid w:val="2A261D85"/>
    <w:rsid w:val="2A263B34"/>
    <w:rsid w:val="2A7A5C2D"/>
    <w:rsid w:val="2ADB20DA"/>
    <w:rsid w:val="2B285689"/>
    <w:rsid w:val="2B4104F9"/>
    <w:rsid w:val="2B451FEE"/>
    <w:rsid w:val="2BCE11D1"/>
    <w:rsid w:val="2C322253"/>
    <w:rsid w:val="2C9A681A"/>
    <w:rsid w:val="2CD625E7"/>
    <w:rsid w:val="2D5149BF"/>
    <w:rsid w:val="2D5F2735"/>
    <w:rsid w:val="2D6D5012"/>
    <w:rsid w:val="2D7B7CF2"/>
    <w:rsid w:val="2D937732"/>
    <w:rsid w:val="2DC23B73"/>
    <w:rsid w:val="2DCC7169"/>
    <w:rsid w:val="2E352597"/>
    <w:rsid w:val="2E5614D1"/>
    <w:rsid w:val="2E732342"/>
    <w:rsid w:val="2E82657F"/>
    <w:rsid w:val="2EC0476E"/>
    <w:rsid w:val="2EC310A2"/>
    <w:rsid w:val="2EDB6981"/>
    <w:rsid w:val="2F067A90"/>
    <w:rsid w:val="2F131F39"/>
    <w:rsid w:val="2F7A5890"/>
    <w:rsid w:val="2FD27B76"/>
    <w:rsid w:val="2FEA1763"/>
    <w:rsid w:val="30656A38"/>
    <w:rsid w:val="30662EDC"/>
    <w:rsid w:val="3082336E"/>
    <w:rsid w:val="30A734F4"/>
    <w:rsid w:val="30CC6AB7"/>
    <w:rsid w:val="311F752F"/>
    <w:rsid w:val="312B1A2F"/>
    <w:rsid w:val="317909ED"/>
    <w:rsid w:val="320E1553"/>
    <w:rsid w:val="320F619D"/>
    <w:rsid w:val="32967636"/>
    <w:rsid w:val="32970BD8"/>
    <w:rsid w:val="32AC3044"/>
    <w:rsid w:val="331C7AC7"/>
    <w:rsid w:val="339F78C8"/>
    <w:rsid w:val="33B757D9"/>
    <w:rsid w:val="34512084"/>
    <w:rsid w:val="350117EB"/>
    <w:rsid w:val="3522139B"/>
    <w:rsid w:val="352E7D40"/>
    <w:rsid w:val="353119FE"/>
    <w:rsid w:val="35325A82"/>
    <w:rsid w:val="356419B4"/>
    <w:rsid w:val="35696FCA"/>
    <w:rsid w:val="357A4D33"/>
    <w:rsid w:val="35DC05AE"/>
    <w:rsid w:val="35E86141"/>
    <w:rsid w:val="35E955C8"/>
    <w:rsid w:val="36052E9C"/>
    <w:rsid w:val="36853990"/>
    <w:rsid w:val="36A83953"/>
    <w:rsid w:val="37720C81"/>
    <w:rsid w:val="377C1237"/>
    <w:rsid w:val="37C70011"/>
    <w:rsid w:val="38156F95"/>
    <w:rsid w:val="38204CC7"/>
    <w:rsid w:val="382947EF"/>
    <w:rsid w:val="387B0893"/>
    <w:rsid w:val="3894435E"/>
    <w:rsid w:val="38966328"/>
    <w:rsid w:val="38BE692A"/>
    <w:rsid w:val="38C73400"/>
    <w:rsid w:val="38C945F7"/>
    <w:rsid w:val="38E82C1D"/>
    <w:rsid w:val="390B53AD"/>
    <w:rsid w:val="394A2849"/>
    <w:rsid w:val="395B30CE"/>
    <w:rsid w:val="39C83CC5"/>
    <w:rsid w:val="39CD7B28"/>
    <w:rsid w:val="39D679A3"/>
    <w:rsid w:val="39D84C94"/>
    <w:rsid w:val="3A044809"/>
    <w:rsid w:val="3A287454"/>
    <w:rsid w:val="3A316036"/>
    <w:rsid w:val="3A50781C"/>
    <w:rsid w:val="3A6F0BDF"/>
    <w:rsid w:val="3A8C5C87"/>
    <w:rsid w:val="3A9C399E"/>
    <w:rsid w:val="3AA218CC"/>
    <w:rsid w:val="3AB16704"/>
    <w:rsid w:val="3ACE28D0"/>
    <w:rsid w:val="3B3F2B8A"/>
    <w:rsid w:val="3B467F1F"/>
    <w:rsid w:val="3B491430"/>
    <w:rsid w:val="3B5A363D"/>
    <w:rsid w:val="3BA26D92"/>
    <w:rsid w:val="3BCC3E0F"/>
    <w:rsid w:val="3C6D114E"/>
    <w:rsid w:val="3CAB32C6"/>
    <w:rsid w:val="3CBE512C"/>
    <w:rsid w:val="3CDA4850"/>
    <w:rsid w:val="3D8D47EC"/>
    <w:rsid w:val="3DAD28A5"/>
    <w:rsid w:val="3DC92CFC"/>
    <w:rsid w:val="3E423B9A"/>
    <w:rsid w:val="3E950E30"/>
    <w:rsid w:val="3E9D7A57"/>
    <w:rsid w:val="3EBC63BD"/>
    <w:rsid w:val="3EDB0BA9"/>
    <w:rsid w:val="3F2A1578"/>
    <w:rsid w:val="3F676329"/>
    <w:rsid w:val="3FB11C9A"/>
    <w:rsid w:val="4004259C"/>
    <w:rsid w:val="402145F5"/>
    <w:rsid w:val="40347BF3"/>
    <w:rsid w:val="403F2228"/>
    <w:rsid w:val="407A6419"/>
    <w:rsid w:val="40B57568"/>
    <w:rsid w:val="40BF16BE"/>
    <w:rsid w:val="413F41C6"/>
    <w:rsid w:val="414A5F02"/>
    <w:rsid w:val="414C3A28"/>
    <w:rsid w:val="4156355C"/>
    <w:rsid w:val="41D0648A"/>
    <w:rsid w:val="422C568A"/>
    <w:rsid w:val="42B2092F"/>
    <w:rsid w:val="43340C18"/>
    <w:rsid w:val="4334673F"/>
    <w:rsid w:val="43391776"/>
    <w:rsid w:val="436E35C0"/>
    <w:rsid w:val="437C5B5F"/>
    <w:rsid w:val="4388766D"/>
    <w:rsid w:val="43B43B06"/>
    <w:rsid w:val="43B65AD0"/>
    <w:rsid w:val="43DA4FF7"/>
    <w:rsid w:val="43F10E21"/>
    <w:rsid w:val="4476700E"/>
    <w:rsid w:val="448E07FB"/>
    <w:rsid w:val="44BA339E"/>
    <w:rsid w:val="455B1301"/>
    <w:rsid w:val="457744CB"/>
    <w:rsid w:val="45806C24"/>
    <w:rsid w:val="45821B2F"/>
    <w:rsid w:val="45A349DB"/>
    <w:rsid w:val="45C41ED1"/>
    <w:rsid w:val="45C84171"/>
    <w:rsid w:val="45F41F7F"/>
    <w:rsid w:val="460F14C8"/>
    <w:rsid w:val="46527839"/>
    <w:rsid w:val="46CC4734"/>
    <w:rsid w:val="46F6158D"/>
    <w:rsid w:val="47C95AEB"/>
    <w:rsid w:val="480B5EA5"/>
    <w:rsid w:val="480B67DC"/>
    <w:rsid w:val="485C65D0"/>
    <w:rsid w:val="485D476D"/>
    <w:rsid w:val="486C2C02"/>
    <w:rsid w:val="497C0C22"/>
    <w:rsid w:val="49A634AC"/>
    <w:rsid w:val="49F15029"/>
    <w:rsid w:val="4A767D68"/>
    <w:rsid w:val="4B4D283A"/>
    <w:rsid w:val="4B517E8D"/>
    <w:rsid w:val="4B6B53F2"/>
    <w:rsid w:val="4BA32DDE"/>
    <w:rsid w:val="4BC34278"/>
    <w:rsid w:val="4BEA4569"/>
    <w:rsid w:val="4BEB7A84"/>
    <w:rsid w:val="4C1D392E"/>
    <w:rsid w:val="4C7D281A"/>
    <w:rsid w:val="4C95594A"/>
    <w:rsid w:val="4C9A0BEE"/>
    <w:rsid w:val="4CCA7EF7"/>
    <w:rsid w:val="4CD82614"/>
    <w:rsid w:val="4D284678"/>
    <w:rsid w:val="4D3A6D00"/>
    <w:rsid w:val="4D962043"/>
    <w:rsid w:val="4E035DB6"/>
    <w:rsid w:val="4ECD3AA4"/>
    <w:rsid w:val="4F145FE1"/>
    <w:rsid w:val="4F6208BA"/>
    <w:rsid w:val="4F9A30D0"/>
    <w:rsid w:val="4F9A7840"/>
    <w:rsid w:val="4FA679B9"/>
    <w:rsid w:val="4FAE3B00"/>
    <w:rsid w:val="4FDA48F5"/>
    <w:rsid w:val="4FDE3241"/>
    <w:rsid w:val="4FED16FA"/>
    <w:rsid w:val="4FFF25AD"/>
    <w:rsid w:val="504F0E3F"/>
    <w:rsid w:val="50CE34EB"/>
    <w:rsid w:val="528654C3"/>
    <w:rsid w:val="529308D2"/>
    <w:rsid w:val="52D7511B"/>
    <w:rsid w:val="52FB52AE"/>
    <w:rsid w:val="53486019"/>
    <w:rsid w:val="5362532D"/>
    <w:rsid w:val="536A3247"/>
    <w:rsid w:val="53805FAD"/>
    <w:rsid w:val="53863509"/>
    <w:rsid w:val="53CB1124"/>
    <w:rsid w:val="53F87A3F"/>
    <w:rsid w:val="541D3002"/>
    <w:rsid w:val="548117E3"/>
    <w:rsid w:val="54A14144"/>
    <w:rsid w:val="54A656ED"/>
    <w:rsid w:val="54B81796"/>
    <w:rsid w:val="54F57FAF"/>
    <w:rsid w:val="5541396D"/>
    <w:rsid w:val="55D16521"/>
    <w:rsid w:val="560E354A"/>
    <w:rsid w:val="56124994"/>
    <w:rsid w:val="565A053D"/>
    <w:rsid w:val="567B188F"/>
    <w:rsid w:val="56842197"/>
    <w:rsid w:val="5689374C"/>
    <w:rsid w:val="569E4046"/>
    <w:rsid w:val="56A21099"/>
    <w:rsid w:val="56DB78D0"/>
    <w:rsid w:val="575B27BF"/>
    <w:rsid w:val="57CD244A"/>
    <w:rsid w:val="57F549C2"/>
    <w:rsid w:val="582F025F"/>
    <w:rsid w:val="58951D01"/>
    <w:rsid w:val="589715D5"/>
    <w:rsid w:val="58AE691E"/>
    <w:rsid w:val="58B201ED"/>
    <w:rsid w:val="58D345D7"/>
    <w:rsid w:val="58FF0D6C"/>
    <w:rsid w:val="59022F76"/>
    <w:rsid w:val="592D782C"/>
    <w:rsid w:val="594A2AEB"/>
    <w:rsid w:val="59594ADC"/>
    <w:rsid w:val="597B2CA5"/>
    <w:rsid w:val="59A2662B"/>
    <w:rsid w:val="59A57D21"/>
    <w:rsid w:val="59DD74BB"/>
    <w:rsid w:val="5A286AC3"/>
    <w:rsid w:val="5A376D05"/>
    <w:rsid w:val="5A6F39C3"/>
    <w:rsid w:val="5AC02E35"/>
    <w:rsid w:val="5B40376D"/>
    <w:rsid w:val="5B595267"/>
    <w:rsid w:val="5BA74225"/>
    <w:rsid w:val="5BBC75A4"/>
    <w:rsid w:val="5C2723A0"/>
    <w:rsid w:val="5C7907C5"/>
    <w:rsid w:val="5C9B540C"/>
    <w:rsid w:val="5CB93C69"/>
    <w:rsid w:val="5CC52489"/>
    <w:rsid w:val="5CDA6966"/>
    <w:rsid w:val="5D0660DC"/>
    <w:rsid w:val="5D0905C7"/>
    <w:rsid w:val="5D235B2D"/>
    <w:rsid w:val="5D2B0770"/>
    <w:rsid w:val="5D2D6D4A"/>
    <w:rsid w:val="5D974FA7"/>
    <w:rsid w:val="5DB91FED"/>
    <w:rsid w:val="5DD44D24"/>
    <w:rsid w:val="5DFC467F"/>
    <w:rsid w:val="5E40270F"/>
    <w:rsid w:val="5EBB3B43"/>
    <w:rsid w:val="5ED86A65"/>
    <w:rsid w:val="5EE70E9E"/>
    <w:rsid w:val="5F4027F5"/>
    <w:rsid w:val="5FFE2671"/>
    <w:rsid w:val="60402FAC"/>
    <w:rsid w:val="60624F04"/>
    <w:rsid w:val="6077401E"/>
    <w:rsid w:val="61462ED4"/>
    <w:rsid w:val="618350AA"/>
    <w:rsid w:val="61C25023"/>
    <w:rsid w:val="61CB6793"/>
    <w:rsid w:val="61E52095"/>
    <w:rsid w:val="620520BF"/>
    <w:rsid w:val="620677CB"/>
    <w:rsid w:val="621A38B3"/>
    <w:rsid w:val="623460E6"/>
    <w:rsid w:val="62662018"/>
    <w:rsid w:val="628E7997"/>
    <w:rsid w:val="62A74F26"/>
    <w:rsid w:val="62EA0E9B"/>
    <w:rsid w:val="630F26B0"/>
    <w:rsid w:val="63176C3E"/>
    <w:rsid w:val="632665C3"/>
    <w:rsid w:val="6356208C"/>
    <w:rsid w:val="63894210"/>
    <w:rsid w:val="63981174"/>
    <w:rsid w:val="63F65334"/>
    <w:rsid w:val="63F903F0"/>
    <w:rsid w:val="6472739A"/>
    <w:rsid w:val="649328B7"/>
    <w:rsid w:val="64B5564D"/>
    <w:rsid w:val="64BE613B"/>
    <w:rsid w:val="64E8140A"/>
    <w:rsid w:val="656766C1"/>
    <w:rsid w:val="6570644A"/>
    <w:rsid w:val="658C5221"/>
    <w:rsid w:val="65C71020"/>
    <w:rsid w:val="65E322FD"/>
    <w:rsid w:val="65FD52FB"/>
    <w:rsid w:val="66091638"/>
    <w:rsid w:val="666B40A1"/>
    <w:rsid w:val="6694184A"/>
    <w:rsid w:val="67A555B6"/>
    <w:rsid w:val="67D54611"/>
    <w:rsid w:val="68244D67"/>
    <w:rsid w:val="68DB72BC"/>
    <w:rsid w:val="69C451DF"/>
    <w:rsid w:val="6A6634FD"/>
    <w:rsid w:val="6A722C1D"/>
    <w:rsid w:val="6A7D7742"/>
    <w:rsid w:val="6A816A7F"/>
    <w:rsid w:val="6A8A02B8"/>
    <w:rsid w:val="6BF95CAB"/>
    <w:rsid w:val="6C341CDC"/>
    <w:rsid w:val="6C352226"/>
    <w:rsid w:val="6C364DF4"/>
    <w:rsid w:val="6C3C2767"/>
    <w:rsid w:val="6C6B0957"/>
    <w:rsid w:val="6CA4030D"/>
    <w:rsid w:val="6CD02EB0"/>
    <w:rsid w:val="6CDE737B"/>
    <w:rsid w:val="6D1E7A9D"/>
    <w:rsid w:val="6DDB1B0C"/>
    <w:rsid w:val="6DEC1F6B"/>
    <w:rsid w:val="6E35746E"/>
    <w:rsid w:val="6E362790"/>
    <w:rsid w:val="6E3F02ED"/>
    <w:rsid w:val="6E594E86"/>
    <w:rsid w:val="6E825D78"/>
    <w:rsid w:val="6E9B1CFD"/>
    <w:rsid w:val="6EBF31DC"/>
    <w:rsid w:val="6F0713EB"/>
    <w:rsid w:val="6F1F5D01"/>
    <w:rsid w:val="6F4C09FA"/>
    <w:rsid w:val="6F547DC8"/>
    <w:rsid w:val="7007611E"/>
    <w:rsid w:val="70176C55"/>
    <w:rsid w:val="70587444"/>
    <w:rsid w:val="705F4C76"/>
    <w:rsid w:val="706050D9"/>
    <w:rsid w:val="70975A43"/>
    <w:rsid w:val="70CE4EA1"/>
    <w:rsid w:val="70CE7706"/>
    <w:rsid w:val="70FF3D63"/>
    <w:rsid w:val="71FD4747"/>
    <w:rsid w:val="72AE18C3"/>
    <w:rsid w:val="72BC20E7"/>
    <w:rsid w:val="741C5549"/>
    <w:rsid w:val="74471CA9"/>
    <w:rsid w:val="746E36DA"/>
    <w:rsid w:val="74E474F8"/>
    <w:rsid w:val="74F37E1A"/>
    <w:rsid w:val="7509132F"/>
    <w:rsid w:val="753F1579"/>
    <w:rsid w:val="759E3B4B"/>
    <w:rsid w:val="75B12E6C"/>
    <w:rsid w:val="75C64E50"/>
    <w:rsid w:val="75D243B9"/>
    <w:rsid w:val="75D859FD"/>
    <w:rsid w:val="764010A6"/>
    <w:rsid w:val="76734827"/>
    <w:rsid w:val="76AF20F4"/>
    <w:rsid w:val="76D90BB3"/>
    <w:rsid w:val="77660698"/>
    <w:rsid w:val="77AB402B"/>
    <w:rsid w:val="77BC258A"/>
    <w:rsid w:val="78216CB5"/>
    <w:rsid w:val="78D262EB"/>
    <w:rsid w:val="78DE6B60"/>
    <w:rsid w:val="793A55A6"/>
    <w:rsid w:val="7973709D"/>
    <w:rsid w:val="7B856184"/>
    <w:rsid w:val="7BDA1655"/>
    <w:rsid w:val="7C5E2286"/>
    <w:rsid w:val="7CC40FE0"/>
    <w:rsid w:val="7CC7518F"/>
    <w:rsid w:val="7D2C7C8E"/>
    <w:rsid w:val="7DCA74A7"/>
    <w:rsid w:val="7DEE58DC"/>
    <w:rsid w:val="7E0F220D"/>
    <w:rsid w:val="7E2D3E44"/>
    <w:rsid w:val="7E571BA7"/>
    <w:rsid w:val="7F7C3B08"/>
    <w:rsid w:val="7FAC50B6"/>
    <w:rsid w:val="7FD14B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pPr>
    <w:rPr>
      <w:rFonts w:ascii="Calibri" w:hAnsi="Calibri" w:eastAsia="宋体" w:cs="Times New Roman"/>
      <w:kern w:val="2"/>
      <w:sz w:val="21"/>
      <w:szCs w:val="21"/>
      <w:lang w:val="en-US" w:eastAsia="zh-CN" w:bidi="ar-SA"/>
    </w:rPr>
  </w:style>
  <w:style w:type="paragraph" w:styleId="2">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5"/>
    <w:qFormat/>
    <w:uiPriority w:val="0"/>
    <w:pPr>
      <w:keepNext/>
      <w:keepLines/>
      <w:spacing w:before="260" w:after="260" w:line="416" w:lineRule="auto"/>
      <w:outlineLvl w:val="2"/>
    </w:pPr>
    <w:rPr>
      <w:b/>
      <w:bCs/>
      <w:sz w:val="32"/>
      <w:szCs w:val="32"/>
    </w:rPr>
  </w:style>
  <w:style w:type="paragraph" w:styleId="5">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7"/>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8"/>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9"/>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0"/>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51"/>
    <w:qFormat/>
    <w:uiPriority w:val="0"/>
    <w:pPr>
      <w:keepNext/>
      <w:keepLines/>
      <w:adjustRightInd/>
      <w:spacing w:before="240" w:after="64" w:line="320" w:lineRule="auto"/>
      <w:outlineLvl w:val="8"/>
    </w:pPr>
    <w:rPr>
      <w:rFonts w:ascii="Arial" w:hAnsi="Arial" w:eastAsia="黑体"/>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unhideWhenUsed/>
    <w:qFormat/>
    <w:uiPriority w:val="0"/>
    <w:rPr>
      <w:rFonts w:ascii="等线 Light" w:hAnsi="等线 Light" w:eastAsia="黑体"/>
      <w:sz w:val="20"/>
      <w:szCs w:val="20"/>
    </w:rPr>
  </w:style>
  <w:style w:type="paragraph" w:styleId="14">
    <w:name w:val="annotation text"/>
    <w:basedOn w:val="1"/>
    <w:link w:val="253"/>
    <w:unhideWhenUsed/>
    <w:qFormat/>
    <w:uiPriority w:val="0"/>
  </w:style>
  <w:style w:type="paragraph" w:styleId="15">
    <w:name w:val="Body Text"/>
    <w:basedOn w:val="1"/>
    <w:link w:val="95"/>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Plain Text"/>
    <w:basedOn w:val="1"/>
    <w:link w:val="246"/>
    <w:qFormat/>
    <w:uiPriority w:val="99"/>
    <w:pPr>
      <w:adjustRightInd/>
      <w:spacing w:line="240" w:lineRule="auto"/>
    </w:pPr>
    <w:rPr>
      <w:rFonts w:ascii="宋体" w:hAnsi="Courier New"/>
      <w:szCs w:val="20"/>
    </w:rPr>
  </w:style>
  <w:style w:type="paragraph" w:styleId="19">
    <w:name w:val="toc 8"/>
    <w:basedOn w:val="1"/>
    <w:next w:val="1"/>
    <w:autoRedefine/>
    <w:unhideWhenUsed/>
    <w:qFormat/>
    <w:uiPriority w:val="39"/>
    <w:pPr>
      <w:adjustRightInd/>
      <w:spacing w:after="160" w:line="278" w:lineRule="auto"/>
      <w:ind w:left="2940" w:leftChars="1400"/>
    </w:pPr>
    <w:rPr>
      <w:rFonts w:asciiTheme="minorHAnsi" w:hAnsiTheme="minorHAnsi" w:eastAsiaTheme="minorEastAsia" w:cstheme="minorBidi"/>
      <w:sz w:val="22"/>
      <w:szCs w:val="24"/>
      <w14:ligatures w14:val="standardContextual"/>
    </w:rPr>
  </w:style>
  <w:style w:type="paragraph" w:styleId="20">
    <w:name w:val="Date"/>
    <w:basedOn w:val="1"/>
    <w:next w:val="1"/>
    <w:link w:val="259"/>
    <w:semiHidden/>
    <w:unhideWhenUsed/>
    <w:qFormat/>
    <w:uiPriority w:val="99"/>
    <w:pPr>
      <w:ind w:left="100" w:leftChars="2500"/>
    </w:pPr>
  </w:style>
  <w:style w:type="paragraph" w:styleId="21">
    <w:name w:val="Balloon Text"/>
    <w:basedOn w:val="1"/>
    <w:link w:val="54"/>
    <w:semiHidden/>
    <w:unhideWhenUsed/>
    <w:qFormat/>
    <w:uiPriority w:val="99"/>
    <w:rPr>
      <w:sz w:val="18"/>
      <w:szCs w:val="18"/>
    </w:rPr>
  </w:style>
  <w:style w:type="paragraph" w:styleId="22">
    <w:name w:val="footer"/>
    <w:basedOn w:val="1"/>
    <w:link w:val="53"/>
    <w:qFormat/>
    <w:uiPriority w:val="99"/>
    <w:pPr>
      <w:tabs>
        <w:tab w:val="center" w:pos="4153"/>
        <w:tab w:val="right" w:pos="8306"/>
      </w:tabs>
      <w:adjustRightInd/>
      <w:snapToGrid w:val="0"/>
      <w:spacing w:line="240" w:lineRule="auto"/>
      <w:jc w:val="right"/>
    </w:pPr>
    <w:rPr>
      <w:rFonts w:ascii="宋体"/>
      <w:sz w:val="18"/>
      <w:szCs w:val="18"/>
    </w:rPr>
  </w:style>
  <w:style w:type="paragraph" w:styleId="23">
    <w:name w:val="header"/>
    <w:basedOn w:val="1"/>
    <w:link w:val="52"/>
    <w:qFormat/>
    <w:uiPriority w:val="99"/>
    <w:pPr>
      <w:tabs>
        <w:tab w:val="center" w:pos="4153"/>
        <w:tab w:val="right" w:pos="8306"/>
      </w:tabs>
      <w:adjustRightInd/>
      <w:snapToGrid w:val="0"/>
      <w:jc w:val="center"/>
    </w:pPr>
    <w:rPr>
      <w:sz w:val="18"/>
      <w:szCs w:val="18"/>
    </w:rPr>
  </w:style>
  <w:style w:type="paragraph" w:styleId="24">
    <w:name w:val="toc 1"/>
    <w:basedOn w:val="1"/>
    <w:next w:val="1"/>
    <w:unhideWhenUsed/>
    <w:qFormat/>
    <w:uiPriority w:val="39"/>
    <w:rPr>
      <w:rFonts w:ascii="宋体"/>
    </w:rPr>
  </w:style>
  <w:style w:type="paragraph" w:styleId="25">
    <w:name w:val="toc 4"/>
    <w:basedOn w:val="1"/>
    <w:next w:val="1"/>
    <w:unhideWhenUsed/>
    <w:qFormat/>
    <w:uiPriority w:val="39"/>
    <w:pPr>
      <w:tabs>
        <w:tab w:val="right" w:leader="dot" w:pos="9344"/>
      </w:tabs>
      <w:spacing w:line="300" w:lineRule="exact"/>
      <w:ind w:left="629"/>
    </w:pPr>
    <w:rPr>
      <w:rFonts w:ascii="宋体"/>
    </w:rPr>
  </w:style>
  <w:style w:type="paragraph" w:styleId="26">
    <w:name w:val="footnote text"/>
    <w:basedOn w:val="1"/>
    <w:next w:val="1"/>
    <w:link w:val="108"/>
    <w:semiHidden/>
    <w:qFormat/>
    <w:uiPriority w:val="0"/>
    <w:pPr>
      <w:adjustRightInd/>
      <w:snapToGrid w:val="0"/>
      <w:spacing w:line="300" w:lineRule="exact"/>
      <w:ind w:left="400" w:leftChars="200" w:hanging="200" w:hangingChars="200"/>
    </w:pPr>
    <w:rPr>
      <w:rFonts w:ascii="宋体"/>
      <w:sz w:val="18"/>
      <w:szCs w:val="18"/>
    </w:rPr>
  </w:style>
  <w:style w:type="paragraph" w:styleId="27">
    <w:name w:val="toc 6"/>
    <w:basedOn w:val="1"/>
    <w:next w:val="1"/>
    <w:unhideWhenUsed/>
    <w:qFormat/>
    <w:uiPriority w:val="39"/>
    <w:pPr>
      <w:spacing w:line="300" w:lineRule="exact"/>
      <w:ind w:left="1049"/>
    </w:pPr>
    <w:rPr>
      <w:rFonts w:ascii="宋体"/>
    </w:rPr>
  </w:style>
  <w:style w:type="paragraph" w:styleId="28">
    <w:name w:val="table of figures"/>
    <w:basedOn w:val="1"/>
    <w:next w:val="1"/>
    <w:link w:val="264"/>
    <w:qFormat/>
    <w:uiPriority w:val="99"/>
    <w:pPr>
      <w:adjustRightInd/>
      <w:spacing w:line="240" w:lineRule="auto"/>
    </w:pPr>
    <w:rPr>
      <w:szCs w:val="24"/>
    </w:rPr>
  </w:style>
  <w:style w:type="paragraph" w:styleId="29">
    <w:name w:val="toc 2"/>
    <w:basedOn w:val="1"/>
    <w:next w:val="1"/>
    <w:unhideWhenUsed/>
    <w:qFormat/>
    <w:uiPriority w:val="39"/>
    <w:pPr>
      <w:tabs>
        <w:tab w:val="right" w:leader="dot" w:pos="9344"/>
      </w:tabs>
      <w:spacing w:line="300" w:lineRule="exact"/>
      <w:ind w:left="210"/>
    </w:pPr>
    <w:rPr>
      <w:rFonts w:ascii="宋体"/>
    </w:rPr>
  </w:style>
  <w:style w:type="paragraph" w:styleId="30">
    <w:name w:val="toc 9"/>
    <w:basedOn w:val="1"/>
    <w:next w:val="1"/>
    <w:autoRedefine/>
    <w:unhideWhenUsed/>
    <w:qFormat/>
    <w:uiPriority w:val="39"/>
    <w:pPr>
      <w:adjustRightInd/>
      <w:spacing w:after="160" w:line="278" w:lineRule="auto"/>
      <w:ind w:left="3360" w:leftChars="1600"/>
    </w:pPr>
    <w:rPr>
      <w:rFonts w:asciiTheme="minorHAnsi" w:hAnsiTheme="minorHAnsi" w:eastAsiaTheme="minorEastAsia" w:cstheme="minorBidi"/>
      <w:sz w:val="22"/>
      <w:szCs w:val="24"/>
      <w14:ligatures w14:val="standardContextual"/>
    </w:rPr>
  </w:style>
  <w:style w:type="paragraph" w:styleId="31">
    <w:name w:val="Title"/>
    <w:basedOn w:val="1"/>
    <w:link w:val="57"/>
    <w:qFormat/>
    <w:uiPriority w:val="0"/>
    <w:pPr>
      <w:spacing w:before="240" w:after="60"/>
      <w:jc w:val="center"/>
      <w:outlineLvl w:val="0"/>
    </w:pPr>
    <w:rPr>
      <w:rFonts w:ascii="Arial" w:hAnsi="Arial" w:cs="Arial"/>
      <w:b/>
      <w:bCs/>
      <w:sz w:val="32"/>
      <w:szCs w:val="32"/>
    </w:rPr>
  </w:style>
  <w:style w:type="paragraph" w:styleId="32">
    <w:name w:val="annotation subject"/>
    <w:basedOn w:val="14"/>
    <w:next w:val="14"/>
    <w:link w:val="254"/>
    <w:semiHidden/>
    <w:unhideWhenUsed/>
    <w:qFormat/>
    <w:uiPriority w:val="99"/>
    <w:rPr>
      <w:b/>
      <w:bCs/>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bCs/>
    </w:rPr>
  </w:style>
  <w:style w:type="character" w:styleId="37">
    <w:name w:val="page number"/>
    <w:qFormat/>
    <w:uiPriority w:val="0"/>
    <w:rPr>
      <w:rFonts w:ascii="宋体" w:hAnsi="Times New Roman" w:eastAsia="宋体"/>
      <w:sz w:val="18"/>
    </w:rPr>
  </w:style>
  <w:style w:type="character" w:styleId="38">
    <w:name w:val="FollowedHyperlink"/>
    <w:semiHidden/>
    <w:unhideWhenUsed/>
    <w:qFormat/>
    <w:uiPriority w:val="99"/>
    <w:rPr>
      <w:color w:val="954F72"/>
      <w:u w:val="single"/>
    </w:rPr>
  </w:style>
  <w:style w:type="character" w:styleId="39">
    <w:name w:val="Emphasis"/>
    <w:qFormat/>
    <w:uiPriority w:val="20"/>
    <w:rPr>
      <w:i/>
      <w:iCs/>
    </w:rPr>
  </w:style>
  <w:style w:type="character" w:styleId="40">
    <w:name w:val="Hyperlink"/>
    <w:qFormat/>
    <w:uiPriority w:val="99"/>
    <w:rPr>
      <w:rFonts w:ascii="宋体" w:hAnsi="Times New Roman" w:eastAsia="宋体"/>
      <w:color w:val="auto"/>
      <w:spacing w:val="0"/>
      <w:w w:val="100"/>
      <w:position w:val="0"/>
      <w:sz w:val="21"/>
      <w:u w:val="none"/>
      <w:vertAlign w:val="baseline"/>
    </w:rPr>
  </w:style>
  <w:style w:type="character" w:styleId="41">
    <w:name w:val="annotation reference"/>
    <w:semiHidden/>
    <w:unhideWhenUsed/>
    <w:qFormat/>
    <w:uiPriority w:val="99"/>
    <w:rPr>
      <w:sz w:val="21"/>
      <w:szCs w:val="21"/>
    </w:rPr>
  </w:style>
  <w:style w:type="character" w:styleId="42">
    <w:name w:val="footnote reference"/>
    <w:semiHidden/>
    <w:qFormat/>
    <w:uiPriority w:val="0"/>
    <w:rPr>
      <w:rFonts w:ascii="宋体" w:hAnsi="宋体" w:eastAsia="宋体" w:cs="Times New Roman"/>
      <w:spacing w:val="0"/>
      <w:sz w:val="18"/>
      <w:vertAlign w:val="superscript"/>
    </w:rPr>
  </w:style>
  <w:style w:type="character" w:customStyle="1" w:styleId="43">
    <w:name w:val="标题 1 字符"/>
    <w:link w:val="2"/>
    <w:qFormat/>
    <w:uiPriority w:val="0"/>
    <w:rPr>
      <w:rFonts w:ascii="Times New Roman" w:hAnsi="Times New Roman" w:eastAsia="宋体" w:cs="Times New Roman"/>
      <w:b/>
      <w:bCs/>
      <w:kern w:val="44"/>
      <w:sz w:val="44"/>
      <w:szCs w:val="44"/>
    </w:rPr>
  </w:style>
  <w:style w:type="character" w:customStyle="1" w:styleId="44">
    <w:name w:val="标题 2 字符"/>
    <w:link w:val="3"/>
    <w:qFormat/>
    <w:uiPriority w:val="0"/>
    <w:rPr>
      <w:rFonts w:ascii="Arial" w:hAnsi="Arial" w:eastAsia="黑体" w:cs="Times New Roman"/>
      <w:b/>
      <w:bCs/>
      <w:sz w:val="32"/>
      <w:szCs w:val="32"/>
    </w:rPr>
  </w:style>
  <w:style w:type="character" w:customStyle="1" w:styleId="45">
    <w:name w:val="标题 3 字符"/>
    <w:link w:val="4"/>
    <w:qFormat/>
    <w:uiPriority w:val="0"/>
    <w:rPr>
      <w:rFonts w:ascii="Times New Roman" w:hAnsi="Times New Roman" w:eastAsia="宋体" w:cs="Times New Roman"/>
      <w:b/>
      <w:bCs/>
      <w:sz w:val="32"/>
      <w:szCs w:val="32"/>
    </w:rPr>
  </w:style>
  <w:style w:type="character" w:customStyle="1" w:styleId="46">
    <w:name w:val="标题 4 字符"/>
    <w:link w:val="5"/>
    <w:qFormat/>
    <w:uiPriority w:val="0"/>
    <w:rPr>
      <w:rFonts w:ascii="Arial" w:hAnsi="Arial" w:eastAsia="黑体" w:cs="Times New Roman"/>
      <w:b/>
      <w:bCs/>
      <w:sz w:val="28"/>
      <w:szCs w:val="28"/>
    </w:rPr>
  </w:style>
  <w:style w:type="character" w:customStyle="1" w:styleId="47">
    <w:name w:val="标题 5 字符"/>
    <w:link w:val="6"/>
    <w:qFormat/>
    <w:uiPriority w:val="0"/>
    <w:rPr>
      <w:rFonts w:ascii="Times New Roman" w:hAnsi="Times New Roman" w:eastAsia="宋体" w:cs="Times New Roman"/>
      <w:b/>
      <w:bCs/>
      <w:sz w:val="28"/>
      <w:szCs w:val="28"/>
    </w:rPr>
  </w:style>
  <w:style w:type="character" w:customStyle="1" w:styleId="48">
    <w:name w:val="标题 6 字符"/>
    <w:link w:val="7"/>
    <w:qFormat/>
    <w:uiPriority w:val="0"/>
    <w:rPr>
      <w:rFonts w:ascii="Arial" w:hAnsi="Arial" w:eastAsia="黑体" w:cs="Times New Roman"/>
      <w:b/>
      <w:bCs/>
      <w:sz w:val="24"/>
      <w:szCs w:val="24"/>
    </w:rPr>
  </w:style>
  <w:style w:type="character" w:customStyle="1" w:styleId="49">
    <w:name w:val="标题 7 字符"/>
    <w:link w:val="8"/>
    <w:qFormat/>
    <w:uiPriority w:val="0"/>
    <w:rPr>
      <w:rFonts w:ascii="Times New Roman" w:hAnsi="Times New Roman" w:eastAsia="宋体" w:cs="Times New Roman"/>
      <w:b/>
      <w:bCs/>
      <w:sz w:val="24"/>
      <w:szCs w:val="24"/>
    </w:rPr>
  </w:style>
  <w:style w:type="character" w:customStyle="1" w:styleId="50">
    <w:name w:val="标题 8 字符"/>
    <w:link w:val="9"/>
    <w:qFormat/>
    <w:uiPriority w:val="0"/>
    <w:rPr>
      <w:rFonts w:ascii="Arial" w:hAnsi="Arial" w:eastAsia="黑体" w:cs="Times New Roman"/>
      <w:sz w:val="24"/>
      <w:szCs w:val="24"/>
    </w:rPr>
  </w:style>
  <w:style w:type="character" w:customStyle="1" w:styleId="51">
    <w:name w:val="标题 9 字符"/>
    <w:link w:val="10"/>
    <w:qFormat/>
    <w:uiPriority w:val="0"/>
    <w:rPr>
      <w:rFonts w:ascii="Arial" w:hAnsi="Arial" w:eastAsia="黑体" w:cs="Times New Roman"/>
      <w:szCs w:val="21"/>
    </w:rPr>
  </w:style>
  <w:style w:type="character" w:customStyle="1" w:styleId="52">
    <w:name w:val="页眉 字符"/>
    <w:link w:val="23"/>
    <w:qFormat/>
    <w:uiPriority w:val="99"/>
    <w:rPr>
      <w:rFonts w:ascii="Times New Roman" w:hAnsi="Times New Roman" w:eastAsia="宋体" w:cs="Times New Roman"/>
      <w:sz w:val="18"/>
      <w:szCs w:val="18"/>
    </w:rPr>
  </w:style>
  <w:style w:type="character" w:customStyle="1" w:styleId="53">
    <w:name w:val="页脚 字符"/>
    <w:link w:val="22"/>
    <w:qFormat/>
    <w:uiPriority w:val="99"/>
    <w:rPr>
      <w:rFonts w:ascii="宋体" w:hAnsi="Times New Roman" w:eastAsia="宋体" w:cs="Times New Roman"/>
      <w:sz w:val="18"/>
      <w:szCs w:val="18"/>
    </w:rPr>
  </w:style>
  <w:style w:type="character" w:customStyle="1" w:styleId="54">
    <w:name w:val="批注框文本 字符"/>
    <w:link w:val="21"/>
    <w:semiHidden/>
    <w:qFormat/>
    <w:uiPriority w:val="99"/>
    <w:rPr>
      <w:sz w:val="18"/>
      <w:szCs w:val="18"/>
    </w:rPr>
  </w:style>
  <w:style w:type="paragraph" w:styleId="55">
    <w:name w:val="Quote"/>
    <w:basedOn w:val="1"/>
    <w:next w:val="1"/>
    <w:link w:val="56"/>
    <w:qFormat/>
    <w:uiPriority w:val="29"/>
    <w:rPr>
      <w:i/>
      <w:iCs/>
      <w:color w:val="000000"/>
    </w:rPr>
  </w:style>
  <w:style w:type="character" w:customStyle="1" w:styleId="56">
    <w:name w:val="引用 字符"/>
    <w:link w:val="55"/>
    <w:qFormat/>
    <w:uiPriority w:val="29"/>
    <w:rPr>
      <w:i/>
      <w:iCs/>
      <w:color w:val="000000"/>
    </w:rPr>
  </w:style>
  <w:style w:type="character" w:customStyle="1" w:styleId="57">
    <w:name w:val="标题 字符"/>
    <w:link w:val="31"/>
    <w:qFormat/>
    <w:uiPriority w:val="0"/>
    <w:rPr>
      <w:rFonts w:ascii="Arial" w:hAnsi="Arial" w:eastAsia="宋体" w:cs="Arial"/>
      <w:b/>
      <w:bCs/>
      <w:sz w:val="32"/>
      <w:szCs w:val="32"/>
    </w:rPr>
  </w:style>
  <w:style w:type="paragraph" w:customStyle="1" w:styleId="5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0">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1">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2">
    <w:name w:val="标准书眉一"/>
    <w:qFormat/>
    <w:uiPriority w:val="0"/>
    <w:pPr>
      <w:jc w:val="both"/>
    </w:pPr>
    <w:rPr>
      <w:rFonts w:ascii="Times New Roman" w:hAnsi="Times New Roman" w:eastAsia="宋体" w:cs="Times New Roman"/>
      <w:lang w:val="en-US" w:eastAsia="zh-CN" w:bidi="ar-SA"/>
    </w:rPr>
  </w:style>
  <w:style w:type="paragraph" w:customStyle="1" w:styleId="63">
    <w:name w:val="标准文件_ICS"/>
    <w:basedOn w:val="1"/>
    <w:qFormat/>
    <w:uiPriority w:val="0"/>
    <w:pPr>
      <w:spacing w:line="0" w:lineRule="atLeast"/>
    </w:pPr>
    <w:rPr>
      <w:rFonts w:ascii="黑体" w:hAnsi="宋体" w:eastAsia="黑体"/>
    </w:rPr>
  </w:style>
  <w:style w:type="paragraph" w:customStyle="1" w:styleId="64">
    <w:name w:val="标准文件_标准正文"/>
    <w:basedOn w:val="1"/>
    <w:next w:val="65"/>
    <w:qFormat/>
    <w:uiPriority w:val="0"/>
    <w:pPr>
      <w:snapToGrid w:val="0"/>
      <w:ind w:firstLine="200" w:firstLineChars="200"/>
    </w:pPr>
    <w:rPr>
      <w:kern w:val="0"/>
    </w:rPr>
  </w:style>
  <w:style w:type="paragraph" w:customStyle="1" w:styleId="65">
    <w:name w:val="标准文件_段"/>
    <w:link w:val="19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6">
    <w:name w:val="标准文件_版本"/>
    <w:basedOn w:val="64"/>
    <w:qFormat/>
    <w:uiPriority w:val="0"/>
    <w:pPr>
      <w:adjustRightInd/>
      <w:snapToGrid/>
      <w:ind w:firstLine="0" w:firstLineChars="0"/>
    </w:pPr>
    <w:rPr>
      <w:rFonts w:ascii="宋体" w:hAnsi="宋体"/>
      <w:kern w:val="2"/>
    </w:rPr>
  </w:style>
  <w:style w:type="paragraph" w:customStyle="1" w:styleId="67">
    <w:name w:val="标准文件_标准部门"/>
    <w:basedOn w:val="1"/>
    <w:qFormat/>
    <w:uiPriority w:val="0"/>
    <w:pPr>
      <w:jc w:val="center"/>
    </w:pPr>
    <w:rPr>
      <w:rFonts w:ascii="黑体" w:eastAsia="黑体"/>
      <w:kern w:val="0"/>
      <w:sz w:val="44"/>
    </w:rPr>
  </w:style>
  <w:style w:type="paragraph" w:customStyle="1" w:styleId="68">
    <w:name w:val="标准文件_标准代替"/>
    <w:basedOn w:val="1"/>
    <w:next w:val="1"/>
    <w:qFormat/>
    <w:uiPriority w:val="0"/>
    <w:pPr>
      <w:spacing w:line="310" w:lineRule="exact"/>
      <w:jc w:val="right"/>
    </w:pPr>
    <w:rPr>
      <w:rFonts w:ascii="宋体" w:hAnsi="宋体"/>
      <w:kern w:val="0"/>
    </w:rPr>
  </w:style>
  <w:style w:type="paragraph" w:customStyle="1" w:styleId="69">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0">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1">
    <w:name w:val="标准文件_页眉偶数页"/>
    <w:basedOn w:val="70"/>
    <w:next w:val="1"/>
    <w:qFormat/>
    <w:uiPriority w:val="0"/>
    <w:pPr>
      <w:jc w:val="left"/>
    </w:pPr>
  </w:style>
  <w:style w:type="paragraph" w:customStyle="1" w:styleId="72">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73">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4">
    <w:name w:val="标准文件_二级条标题"/>
    <w:next w:val="65"/>
    <w:link w:val="281"/>
    <w:qFormat/>
    <w:uiPriority w:val="0"/>
    <w:pPr>
      <w:widowControl w:val="0"/>
      <w:spacing w:beforeLines="50" w:afterLines="50"/>
      <w:jc w:val="both"/>
      <w:outlineLvl w:val="2"/>
    </w:pPr>
    <w:rPr>
      <w:rFonts w:ascii="黑体" w:hAnsi="Times New Roman" w:eastAsia="黑体" w:cs="Times New Roman"/>
      <w:sz w:val="21"/>
      <w:lang w:val="en-US" w:eastAsia="zh-CN" w:bidi="ar-SA"/>
    </w:rPr>
  </w:style>
  <w:style w:type="character" w:customStyle="1" w:styleId="75">
    <w:name w:val="标准文件_发布"/>
    <w:qFormat/>
    <w:uiPriority w:val="0"/>
    <w:rPr>
      <w:rFonts w:ascii="黑体" w:eastAsia="黑体"/>
      <w:spacing w:val="0"/>
      <w:w w:val="100"/>
      <w:position w:val="3"/>
      <w:sz w:val="28"/>
    </w:rPr>
  </w:style>
  <w:style w:type="paragraph" w:customStyle="1" w:styleId="76">
    <w:name w:val="标准文件_方框数字列项"/>
    <w:basedOn w:val="65"/>
    <w:qFormat/>
    <w:uiPriority w:val="0"/>
    <w:pPr>
      <w:numPr>
        <w:ilvl w:val="0"/>
        <w:numId w:val="2"/>
      </w:numPr>
      <w:ind w:firstLine="0" w:firstLineChars="0"/>
    </w:pPr>
  </w:style>
  <w:style w:type="paragraph" w:customStyle="1" w:styleId="77">
    <w:name w:val="标准文件_封面标准编号"/>
    <w:basedOn w:val="1"/>
    <w:next w:val="68"/>
    <w:qFormat/>
    <w:uiPriority w:val="0"/>
    <w:pPr>
      <w:spacing w:line="310" w:lineRule="exact"/>
      <w:jc w:val="right"/>
    </w:pPr>
    <w:rPr>
      <w:rFonts w:ascii="黑体" w:eastAsia="黑体"/>
      <w:kern w:val="0"/>
      <w:sz w:val="28"/>
    </w:rPr>
  </w:style>
  <w:style w:type="paragraph" w:customStyle="1" w:styleId="78">
    <w:name w:val="标准文件_封面标准分类号"/>
    <w:basedOn w:val="1"/>
    <w:qFormat/>
    <w:uiPriority w:val="0"/>
    <w:rPr>
      <w:rFonts w:ascii="黑体" w:eastAsia="黑体"/>
      <w:b/>
      <w:kern w:val="0"/>
      <w:sz w:val="28"/>
    </w:rPr>
  </w:style>
  <w:style w:type="paragraph" w:customStyle="1" w:styleId="79">
    <w:name w:val="标准文件_封面标准名称"/>
    <w:basedOn w:val="1"/>
    <w:qFormat/>
    <w:uiPriority w:val="0"/>
    <w:pPr>
      <w:spacing w:line="240" w:lineRule="auto"/>
      <w:jc w:val="center"/>
    </w:pPr>
    <w:rPr>
      <w:rFonts w:ascii="黑体" w:eastAsia="黑体"/>
      <w:kern w:val="0"/>
      <w:sz w:val="52"/>
    </w:rPr>
  </w:style>
  <w:style w:type="paragraph" w:customStyle="1" w:styleId="80">
    <w:name w:val="标准文件_封面标准英文名称"/>
    <w:basedOn w:val="1"/>
    <w:qFormat/>
    <w:uiPriority w:val="0"/>
    <w:pPr>
      <w:spacing w:line="240" w:lineRule="auto"/>
      <w:jc w:val="center"/>
    </w:pPr>
    <w:rPr>
      <w:rFonts w:ascii="黑体" w:eastAsia="黑体"/>
      <w:b/>
      <w:sz w:val="28"/>
    </w:rPr>
  </w:style>
  <w:style w:type="paragraph" w:customStyle="1" w:styleId="81">
    <w:name w:val="标准文件_封面发布日期"/>
    <w:basedOn w:val="1"/>
    <w:qFormat/>
    <w:uiPriority w:val="0"/>
    <w:pPr>
      <w:spacing w:line="310" w:lineRule="exact"/>
    </w:pPr>
    <w:rPr>
      <w:rFonts w:ascii="黑体" w:eastAsia="黑体"/>
      <w:kern w:val="0"/>
      <w:sz w:val="28"/>
    </w:rPr>
  </w:style>
  <w:style w:type="paragraph" w:customStyle="1" w:styleId="82">
    <w:name w:val="标准文件_封面密级"/>
    <w:basedOn w:val="1"/>
    <w:qFormat/>
    <w:uiPriority w:val="0"/>
    <w:rPr>
      <w:rFonts w:eastAsia="黑体"/>
      <w:sz w:val="32"/>
    </w:rPr>
  </w:style>
  <w:style w:type="paragraph" w:customStyle="1" w:styleId="83">
    <w:name w:val="标准文件_封面实施日期"/>
    <w:basedOn w:val="1"/>
    <w:qFormat/>
    <w:uiPriority w:val="0"/>
    <w:pPr>
      <w:spacing w:line="310" w:lineRule="exact"/>
      <w:jc w:val="right"/>
    </w:pPr>
    <w:rPr>
      <w:rFonts w:ascii="黑体" w:eastAsia="黑体"/>
      <w:sz w:val="28"/>
    </w:rPr>
  </w:style>
  <w:style w:type="paragraph" w:customStyle="1" w:styleId="84">
    <w:name w:val="标准文件_封面抬头"/>
    <w:basedOn w:val="65"/>
    <w:qFormat/>
    <w:uiPriority w:val="0"/>
    <w:pPr>
      <w:adjustRightInd w:val="0"/>
      <w:spacing w:line="800" w:lineRule="exact"/>
      <w:ind w:firstLine="0" w:firstLineChars="0"/>
      <w:jc w:val="distribute"/>
    </w:pPr>
    <w:rPr>
      <w:rFonts w:ascii="黑体" w:eastAsia="黑体"/>
      <w:b/>
      <w:sz w:val="64"/>
    </w:rPr>
  </w:style>
  <w:style w:type="paragraph" w:customStyle="1" w:styleId="85">
    <w:name w:val="标准文件_附录标识"/>
    <w:next w:val="65"/>
    <w:qFormat/>
    <w:uiPriority w:val="0"/>
    <w:pPr>
      <w:numPr>
        <w:ilvl w:val="0"/>
        <w:numId w:val="3"/>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6">
    <w:name w:val="标准文件_附录表标题"/>
    <w:next w:val="65"/>
    <w:qFormat/>
    <w:uiPriority w:val="0"/>
    <w:pPr>
      <w:numPr>
        <w:ilvl w:val="1"/>
        <w:numId w:val="4"/>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7">
    <w:name w:val="标准文件_附录一级条标题"/>
    <w:next w:val="65"/>
    <w:qFormat/>
    <w:uiPriority w:val="0"/>
    <w:pPr>
      <w:widowControl w:val="0"/>
      <w:numPr>
        <w:ilvl w:val="1"/>
        <w:numId w:val="3"/>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8">
    <w:name w:val="标准文件_附录二级条标题"/>
    <w:basedOn w:val="87"/>
    <w:next w:val="65"/>
    <w:qFormat/>
    <w:uiPriority w:val="0"/>
    <w:pPr>
      <w:widowControl/>
      <w:numPr>
        <w:ilvl w:val="2"/>
      </w:numPr>
      <w:wordWrap w:val="0"/>
      <w:overflowPunct w:val="0"/>
      <w:autoSpaceDE w:val="0"/>
      <w:autoSpaceDN w:val="0"/>
      <w:textAlignment w:val="baseline"/>
      <w:outlineLvl w:val="3"/>
    </w:pPr>
  </w:style>
  <w:style w:type="paragraph" w:customStyle="1" w:styleId="89">
    <w:name w:val="标准文件_附录公式"/>
    <w:basedOn w:val="64"/>
    <w:next w:val="64"/>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0">
    <w:name w:val="标准文件_附录三级条标题"/>
    <w:next w:val="65"/>
    <w:qFormat/>
    <w:uiPriority w:val="0"/>
    <w:pPr>
      <w:widowControl w:val="0"/>
      <w:numPr>
        <w:ilvl w:val="3"/>
        <w:numId w:val="3"/>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91">
    <w:name w:val="标准文件_附录四级条标题"/>
    <w:next w:val="65"/>
    <w:qFormat/>
    <w:uiPriority w:val="0"/>
    <w:pPr>
      <w:widowControl w:val="0"/>
      <w:numPr>
        <w:ilvl w:val="4"/>
        <w:numId w:val="3"/>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2">
    <w:name w:val="标准文件_附录图标题"/>
    <w:next w:val="65"/>
    <w:qFormat/>
    <w:uiPriority w:val="0"/>
    <w:pPr>
      <w:numPr>
        <w:ilvl w:val="1"/>
        <w:numId w:val="5"/>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3">
    <w:name w:val="标准文件_附录五级条标题"/>
    <w:next w:val="65"/>
    <w:qFormat/>
    <w:uiPriority w:val="0"/>
    <w:pPr>
      <w:widowControl w:val="0"/>
      <w:numPr>
        <w:ilvl w:val="5"/>
        <w:numId w:val="3"/>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4">
    <w:name w:val="标准文件_附录英文标识"/>
    <w:next w:val="15"/>
    <w:qFormat/>
    <w:uiPriority w:val="0"/>
    <w:pPr>
      <w:numPr>
        <w:ilvl w:val="0"/>
        <w:numId w:val="6"/>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5">
    <w:name w:val="正文文本 字符"/>
    <w:link w:val="15"/>
    <w:qFormat/>
    <w:uiPriority w:val="0"/>
    <w:rPr>
      <w:rFonts w:ascii="Times New Roman" w:hAnsi="Times New Roman" w:eastAsia="宋体" w:cs="Times New Roman"/>
      <w:szCs w:val="20"/>
    </w:rPr>
  </w:style>
  <w:style w:type="paragraph" w:customStyle="1" w:styleId="96">
    <w:name w:val="标准文件_附录章标题"/>
    <w:next w:val="65"/>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7">
    <w:name w:val="标准文件_公式后的破折号"/>
    <w:basedOn w:val="65"/>
    <w:next w:val="65"/>
    <w:qFormat/>
    <w:uiPriority w:val="0"/>
    <w:pPr>
      <w:ind w:left="488" w:leftChars="200" w:hanging="289" w:hangingChars="290"/>
    </w:pPr>
  </w:style>
  <w:style w:type="paragraph" w:customStyle="1" w:styleId="98">
    <w:name w:val="标准文件_前言、引言标题"/>
    <w:next w:val="1"/>
    <w:qFormat/>
    <w:uiPriority w:val="0"/>
    <w:pPr>
      <w:numPr>
        <w:ilvl w:val="0"/>
        <w:numId w:val="7"/>
      </w:numPr>
      <w:shd w:val="clear" w:color="FFFFFF" w:fill="FFFFFF"/>
      <w:spacing w:afterLines="150"/>
      <w:jc w:val="center"/>
      <w:outlineLvl w:val="0"/>
    </w:pPr>
    <w:rPr>
      <w:rFonts w:ascii="黑体" w:hAnsi="Times New Roman" w:eastAsia="黑体" w:cs="Times New Roman"/>
      <w:sz w:val="32"/>
      <w:lang w:val="en-US" w:eastAsia="zh-CN" w:bidi="ar-SA"/>
    </w:rPr>
  </w:style>
  <w:style w:type="paragraph" w:customStyle="1" w:styleId="99">
    <w:name w:val="标准文件_目次、标准名称标题"/>
    <w:basedOn w:val="98"/>
    <w:next w:val="65"/>
    <w:qFormat/>
    <w:uiPriority w:val="0"/>
    <w:pPr>
      <w:spacing w:line="460" w:lineRule="exact"/>
    </w:pPr>
  </w:style>
  <w:style w:type="paragraph" w:customStyle="1" w:styleId="100">
    <w:name w:val="标准文件_目录标题"/>
    <w:basedOn w:val="1"/>
    <w:qFormat/>
    <w:uiPriority w:val="0"/>
    <w:pPr>
      <w:spacing w:afterLines="150" w:line="240" w:lineRule="auto"/>
      <w:jc w:val="center"/>
    </w:pPr>
    <w:rPr>
      <w:rFonts w:ascii="黑体" w:eastAsia="黑体"/>
      <w:sz w:val="32"/>
    </w:rPr>
  </w:style>
  <w:style w:type="paragraph" w:customStyle="1" w:styleId="101">
    <w:name w:val="标准文件_破折号列项"/>
    <w:qFormat/>
    <w:uiPriority w:val="0"/>
    <w:pPr>
      <w:numPr>
        <w:ilvl w:val="0"/>
        <w:numId w:val="8"/>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2">
    <w:name w:val="标准文件_破折号列项（二级）"/>
    <w:basedOn w:val="101"/>
    <w:qFormat/>
    <w:uiPriority w:val="0"/>
    <w:pPr>
      <w:numPr>
        <w:numId w:val="9"/>
      </w:numPr>
      <w:ind w:left="0" w:firstLine="200"/>
    </w:pPr>
  </w:style>
  <w:style w:type="paragraph" w:customStyle="1" w:styleId="103">
    <w:name w:val="标准文件_三级条标题"/>
    <w:basedOn w:val="74"/>
    <w:next w:val="65"/>
    <w:qFormat/>
    <w:uiPriority w:val="0"/>
    <w:pPr>
      <w:widowControl/>
      <w:outlineLvl w:val="3"/>
    </w:pPr>
  </w:style>
  <w:style w:type="character" w:customStyle="1" w:styleId="104">
    <w:name w:val="不明显参考1"/>
    <w:qFormat/>
    <w:uiPriority w:val="31"/>
    <w:rPr>
      <w:smallCaps/>
      <w:color w:val="C0504D"/>
      <w:u w:val="single"/>
    </w:rPr>
  </w:style>
  <w:style w:type="paragraph" w:customStyle="1" w:styleId="105">
    <w:name w:val="标准文件_示例后续"/>
    <w:basedOn w:val="1"/>
    <w:qFormat/>
    <w:uiPriority w:val="0"/>
    <w:pPr>
      <w:adjustRightInd/>
      <w:spacing w:line="240" w:lineRule="auto"/>
      <w:ind w:firstLine="200" w:firstLineChars="200"/>
    </w:pPr>
    <w:rPr>
      <w:sz w:val="18"/>
      <w:szCs w:val="24"/>
    </w:rPr>
  </w:style>
  <w:style w:type="paragraph" w:customStyle="1" w:styleId="106">
    <w:name w:val="标准文件_数字编号列项"/>
    <w:qFormat/>
    <w:uiPriority w:val="0"/>
    <w:pPr>
      <w:numPr>
        <w:ilvl w:val="0"/>
        <w:numId w:val="10"/>
      </w:numPr>
      <w:jc w:val="both"/>
    </w:pPr>
    <w:rPr>
      <w:rFonts w:ascii="宋体" w:hAnsi="宋体" w:eastAsia="宋体" w:cs="Times New Roman"/>
      <w:sz w:val="21"/>
      <w:lang w:val="en-US" w:eastAsia="zh-CN" w:bidi="ar-SA"/>
    </w:rPr>
  </w:style>
  <w:style w:type="paragraph" w:customStyle="1" w:styleId="107">
    <w:name w:val="标准文件_四级条标题"/>
    <w:next w:val="65"/>
    <w:qFormat/>
    <w:uiPriority w:val="0"/>
    <w:pPr>
      <w:widowControl w:val="0"/>
      <w:spacing w:beforeLines="50" w:afterLines="50"/>
      <w:jc w:val="both"/>
      <w:outlineLvl w:val="4"/>
    </w:pPr>
    <w:rPr>
      <w:rFonts w:ascii="黑体" w:hAnsi="Times New Roman" w:eastAsia="黑体" w:cs="Times New Roman"/>
      <w:sz w:val="21"/>
      <w:lang w:val="en-US" w:eastAsia="zh-CN" w:bidi="ar-SA"/>
    </w:rPr>
  </w:style>
  <w:style w:type="character" w:customStyle="1" w:styleId="108">
    <w:name w:val="脚注文本 字符"/>
    <w:link w:val="26"/>
    <w:semiHidden/>
    <w:qFormat/>
    <w:uiPriority w:val="0"/>
    <w:rPr>
      <w:rFonts w:ascii="宋体" w:hAnsi="Times New Roman" w:eastAsia="宋体" w:cs="Times New Roman"/>
      <w:sz w:val="18"/>
      <w:szCs w:val="18"/>
    </w:rPr>
  </w:style>
  <w:style w:type="paragraph" w:customStyle="1" w:styleId="109">
    <w:name w:val="标准文件_条文脚注"/>
    <w:basedOn w:val="26"/>
    <w:qFormat/>
    <w:uiPriority w:val="0"/>
    <w:pPr>
      <w:adjustRightInd w:val="0"/>
      <w:spacing w:line="240" w:lineRule="auto"/>
      <w:ind w:left="0" w:leftChars="0" w:firstLine="200" w:firstLineChars="200"/>
      <w:jc w:val="both"/>
    </w:pPr>
    <w:rPr>
      <w:rFonts w:hAnsi="宋体"/>
    </w:rPr>
  </w:style>
  <w:style w:type="paragraph" w:customStyle="1" w:styleId="110">
    <w:name w:val="标准文件_图表脚注"/>
    <w:basedOn w:val="1"/>
    <w:next w:val="65"/>
    <w:qFormat/>
    <w:uiPriority w:val="0"/>
    <w:pPr>
      <w:numPr>
        <w:ilvl w:val="0"/>
        <w:numId w:val="11"/>
      </w:numPr>
      <w:spacing w:line="240" w:lineRule="auto"/>
    </w:pPr>
    <w:rPr>
      <w:rFonts w:ascii="宋体" w:hAnsi="宋体"/>
      <w:sz w:val="18"/>
    </w:rPr>
  </w:style>
  <w:style w:type="character" w:customStyle="1" w:styleId="111">
    <w:name w:val="标准文件_图表脚注内容"/>
    <w:qFormat/>
    <w:uiPriority w:val="0"/>
    <w:rPr>
      <w:rFonts w:ascii="宋体" w:hAnsi="宋体" w:eastAsia="宋体" w:cs="Times New Roman"/>
      <w:spacing w:val="0"/>
      <w:sz w:val="18"/>
      <w:vertAlign w:val="superscript"/>
    </w:rPr>
  </w:style>
  <w:style w:type="paragraph" w:customStyle="1" w:styleId="112">
    <w:name w:val="标准文件_五级条标题"/>
    <w:next w:val="65"/>
    <w:qFormat/>
    <w:uiPriority w:val="0"/>
    <w:pPr>
      <w:widowControl w:val="0"/>
      <w:spacing w:beforeLines="50" w:afterLines="50"/>
      <w:jc w:val="both"/>
      <w:outlineLvl w:val="5"/>
    </w:pPr>
    <w:rPr>
      <w:rFonts w:ascii="黑体" w:hAnsi="Times New Roman" w:eastAsia="黑体" w:cs="Times New Roman"/>
      <w:sz w:val="21"/>
      <w:lang w:val="en-US" w:eastAsia="zh-CN" w:bidi="ar-SA"/>
    </w:rPr>
  </w:style>
  <w:style w:type="paragraph" w:customStyle="1" w:styleId="113">
    <w:name w:val="标准文件_章标题"/>
    <w:next w:val="65"/>
    <w:qFormat/>
    <w:uiPriority w:val="0"/>
    <w:pPr>
      <w:spacing w:beforeLines="100" w:afterLines="100"/>
      <w:jc w:val="both"/>
      <w:outlineLvl w:val="0"/>
    </w:pPr>
    <w:rPr>
      <w:rFonts w:ascii="黑体" w:hAnsi="Times New Roman" w:eastAsia="黑体" w:cs="Times New Roman"/>
      <w:sz w:val="21"/>
      <w:lang w:val="en-US" w:eastAsia="zh-CN" w:bidi="ar-SA"/>
    </w:rPr>
  </w:style>
  <w:style w:type="paragraph" w:customStyle="1" w:styleId="114">
    <w:name w:val="标准文件_一级条标题"/>
    <w:basedOn w:val="113"/>
    <w:next w:val="65"/>
    <w:link w:val="282"/>
    <w:qFormat/>
    <w:uiPriority w:val="0"/>
    <w:pPr>
      <w:spacing w:beforeLines="50" w:afterLines="50"/>
      <w:outlineLvl w:val="1"/>
    </w:pPr>
  </w:style>
  <w:style w:type="paragraph" w:customStyle="1" w:styleId="115">
    <w:name w:val="标准文件_一致程度"/>
    <w:basedOn w:val="1"/>
    <w:qFormat/>
    <w:uiPriority w:val="0"/>
    <w:pPr>
      <w:spacing w:line="440" w:lineRule="exact"/>
      <w:jc w:val="center"/>
    </w:pPr>
    <w:rPr>
      <w:sz w:val="28"/>
    </w:rPr>
  </w:style>
  <w:style w:type="paragraph" w:customStyle="1" w:styleId="116">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7">
    <w:name w:val="标准文件_英文图表脚注"/>
    <w:basedOn w:val="64"/>
    <w:qFormat/>
    <w:uiPriority w:val="0"/>
    <w:pPr>
      <w:widowControl/>
      <w:adjustRightInd/>
      <w:snapToGrid/>
      <w:spacing w:line="240" w:lineRule="auto"/>
      <w:ind w:left="79" w:hanging="79" w:hangingChars="80"/>
    </w:pPr>
    <w:rPr>
      <w:rFonts w:ascii="宋体" w:hAnsi="宋体"/>
    </w:rPr>
  </w:style>
  <w:style w:type="paragraph" w:customStyle="1" w:styleId="118">
    <w:name w:val="标准文件_数字编号列项（二级）"/>
    <w:qFormat/>
    <w:uiPriority w:val="0"/>
    <w:pPr>
      <w:numPr>
        <w:ilvl w:val="1"/>
        <w:numId w:val="12"/>
      </w:numPr>
      <w:jc w:val="both"/>
    </w:pPr>
    <w:rPr>
      <w:rFonts w:ascii="宋体" w:hAnsi="Times New Roman" w:eastAsia="宋体" w:cs="Times New Roman"/>
      <w:sz w:val="21"/>
      <w:lang w:val="en-US" w:eastAsia="zh-CN" w:bidi="ar-SA"/>
    </w:rPr>
  </w:style>
  <w:style w:type="paragraph" w:customStyle="1" w:styleId="119">
    <w:name w:val="标准文件_英文注："/>
    <w:basedOn w:val="1"/>
    <w:next w:val="65"/>
    <w:qFormat/>
    <w:uiPriority w:val="0"/>
    <w:pPr>
      <w:numPr>
        <w:ilvl w:val="0"/>
        <w:numId w:val="13"/>
      </w:numPr>
      <w:tabs>
        <w:tab w:val="left" w:pos="420"/>
      </w:tabs>
      <w:autoSpaceDE w:val="0"/>
      <w:autoSpaceDN w:val="0"/>
      <w:spacing w:line="240" w:lineRule="auto"/>
    </w:pPr>
    <w:rPr>
      <w:rFonts w:ascii="宋体" w:hAnsi="宋体"/>
      <w:kern w:val="0"/>
      <w:sz w:val="18"/>
      <w:szCs w:val="20"/>
    </w:rPr>
  </w:style>
  <w:style w:type="paragraph" w:customStyle="1" w:styleId="120">
    <w:name w:val="标准文件_英文注×："/>
    <w:basedOn w:val="1"/>
    <w:qFormat/>
    <w:uiPriority w:val="0"/>
    <w:pPr>
      <w:numPr>
        <w:ilvl w:val="0"/>
        <w:numId w:val="14"/>
      </w:numPr>
      <w:tabs>
        <w:tab w:val="left" w:pos="210"/>
      </w:tabs>
      <w:autoSpaceDE w:val="0"/>
      <w:autoSpaceDN w:val="0"/>
      <w:spacing w:line="240" w:lineRule="auto"/>
    </w:pPr>
    <w:rPr>
      <w:rFonts w:ascii="宋体" w:hAnsi="宋体"/>
      <w:kern w:val="0"/>
      <w:szCs w:val="20"/>
    </w:rPr>
  </w:style>
  <w:style w:type="paragraph" w:customStyle="1" w:styleId="121">
    <w:name w:val="标准文件_正文表标题"/>
    <w:next w:val="65"/>
    <w:qFormat/>
    <w:uiPriority w:val="0"/>
    <w:pPr>
      <w:numPr>
        <w:ilvl w:val="0"/>
        <w:numId w:val="15"/>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2">
    <w:name w:val="标准文件_正文公式"/>
    <w:basedOn w:val="1"/>
    <w:next w:val="64"/>
    <w:qFormat/>
    <w:uiPriority w:val="0"/>
    <w:pPr>
      <w:tabs>
        <w:tab w:val="center" w:pos="4678"/>
        <w:tab w:val="right" w:leader="middleDot" w:pos="9356"/>
      </w:tabs>
      <w:spacing w:line="240" w:lineRule="auto"/>
    </w:pPr>
    <w:rPr>
      <w:rFonts w:ascii="宋体" w:hAnsi="宋体"/>
    </w:rPr>
  </w:style>
  <w:style w:type="paragraph" w:customStyle="1" w:styleId="123">
    <w:name w:val="标准文件_正文图标题"/>
    <w:next w:val="65"/>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24">
    <w:name w:val="标准文件_正文英文表标题"/>
    <w:next w:val="65"/>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25">
    <w:name w:val="标准文件_正文英文图标题"/>
    <w:next w:val="65"/>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6">
    <w:name w:val="标准文件_编号列项（三级）"/>
    <w:qFormat/>
    <w:uiPriority w:val="0"/>
    <w:pPr>
      <w:numPr>
        <w:ilvl w:val="2"/>
        <w:numId w:val="12"/>
      </w:numPr>
    </w:pPr>
    <w:rPr>
      <w:rFonts w:ascii="宋体" w:hAnsi="Times New Roman" w:eastAsia="宋体" w:cs="Times New Roman"/>
      <w:sz w:val="21"/>
      <w:lang w:val="en-US" w:eastAsia="zh-CN" w:bidi="ar-SA"/>
    </w:rPr>
  </w:style>
  <w:style w:type="paragraph" w:customStyle="1" w:styleId="127">
    <w:name w:val="二级无标题条"/>
    <w:basedOn w:val="1"/>
    <w:qFormat/>
    <w:uiPriority w:val="0"/>
    <w:pPr>
      <w:numPr>
        <w:ilvl w:val="3"/>
        <w:numId w:val="19"/>
      </w:numPr>
      <w:adjustRightInd/>
      <w:spacing w:line="240" w:lineRule="auto"/>
    </w:pPr>
    <w:rPr>
      <w:rFonts w:ascii="宋体" w:hAnsi="宋体"/>
      <w:szCs w:val="24"/>
    </w:rPr>
  </w:style>
  <w:style w:type="paragraph" w:customStyle="1" w:styleId="128">
    <w:name w:val="发布部门"/>
    <w:next w:val="65"/>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0">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4">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5">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6">
    <w:name w:val="封面正文"/>
    <w:qFormat/>
    <w:uiPriority w:val="0"/>
    <w:pPr>
      <w:jc w:val="both"/>
    </w:pPr>
    <w:rPr>
      <w:rFonts w:ascii="Times New Roman" w:hAnsi="Times New Roman" w:eastAsia="宋体" w:cs="Times New Roman"/>
      <w:lang w:val="en-US" w:eastAsia="zh-CN" w:bidi="ar-SA"/>
    </w:rPr>
  </w:style>
  <w:style w:type="paragraph" w:customStyle="1" w:styleId="137">
    <w:name w:val="附录二级无标题条"/>
    <w:basedOn w:val="1"/>
    <w:next w:val="65"/>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8">
    <w:name w:val="附录三级无标题条"/>
    <w:basedOn w:val="137"/>
    <w:next w:val="65"/>
    <w:qFormat/>
    <w:uiPriority w:val="0"/>
    <w:pPr>
      <w:outlineLvl w:val="4"/>
    </w:pPr>
  </w:style>
  <w:style w:type="paragraph" w:customStyle="1" w:styleId="139">
    <w:name w:val="附录四级无标题条"/>
    <w:basedOn w:val="138"/>
    <w:next w:val="65"/>
    <w:qFormat/>
    <w:uiPriority w:val="0"/>
    <w:pPr>
      <w:outlineLvl w:val="5"/>
    </w:pPr>
  </w:style>
  <w:style w:type="paragraph" w:customStyle="1" w:styleId="140">
    <w:name w:val="附录图"/>
    <w:next w:val="65"/>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1">
    <w:name w:val="标准文件_一级项"/>
    <w:qFormat/>
    <w:uiPriority w:val="0"/>
    <w:pPr>
      <w:numPr>
        <w:ilvl w:val="0"/>
        <w:numId w:val="20"/>
      </w:numPr>
    </w:pPr>
    <w:rPr>
      <w:rFonts w:ascii="宋体" w:hAnsi="Times New Roman" w:eastAsia="宋体" w:cs="Times New Roman"/>
      <w:sz w:val="21"/>
      <w:lang w:val="en-US" w:eastAsia="zh-CN" w:bidi="ar-SA"/>
    </w:rPr>
  </w:style>
  <w:style w:type="paragraph" w:customStyle="1" w:styleId="142">
    <w:name w:val="附录五级无标题条"/>
    <w:basedOn w:val="139"/>
    <w:next w:val="65"/>
    <w:qFormat/>
    <w:uiPriority w:val="0"/>
    <w:pPr>
      <w:outlineLvl w:val="6"/>
    </w:pPr>
  </w:style>
  <w:style w:type="paragraph" w:customStyle="1" w:styleId="143">
    <w:name w:val="附录性质"/>
    <w:basedOn w:val="1"/>
    <w:qFormat/>
    <w:uiPriority w:val="0"/>
    <w:pPr>
      <w:widowControl/>
      <w:adjustRightInd/>
      <w:jc w:val="center"/>
    </w:pPr>
    <w:rPr>
      <w:rFonts w:ascii="黑体" w:eastAsia="黑体"/>
    </w:rPr>
  </w:style>
  <w:style w:type="paragraph" w:customStyle="1" w:styleId="144">
    <w:name w:val="附录一级无标题条"/>
    <w:basedOn w:val="96"/>
    <w:next w:val="65"/>
    <w:qFormat/>
    <w:uiPriority w:val="0"/>
    <w:pPr>
      <w:autoSpaceDN w:val="0"/>
      <w:outlineLvl w:val="2"/>
    </w:pPr>
    <w:rPr>
      <w:rFonts w:ascii="宋体" w:hAnsi="宋体" w:eastAsia="宋体"/>
    </w:rPr>
  </w:style>
  <w:style w:type="character" w:customStyle="1" w:styleId="145">
    <w:name w:val="个人答复风格"/>
    <w:qFormat/>
    <w:uiPriority w:val="0"/>
    <w:rPr>
      <w:rFonts w:ascii="Arial" w:hAnsi="Arial" w:eastAsia="宋体" w:cs="Arial"/>
      <w:color w:val="auto"/>
      <w:spacing w:val="0"/>
      <w:sz w:val="20"/>
    </w:rPr>
  </w:style>
  <w:style w:type="character" w:customStyle="1" w:styleId="146">
    <w:name w:val="个人撰写风格"/>
    <w:qFormat/>
    <w:uiPriority w:val="0"/>
    <w:rPr>
      <w:rFonts w:ascii="Arial" w:hAnsi="Arial" w:eastAsia="宋体" w:cs="Arial"/>
      <w:color w:val="auto"/>
      <w:spacing w:val="0"/>
      <w:sz w:val="20"/>
    </w:rPr>
  </w:style>
  <w:style w:type="paragraph" w:customStyle="1" w:styleId="147">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8">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9">
    <w:name w:val="列项·"/>
    <w:basedOn w:val="65"/>
    <w:qFormat/>
    <w:uiPriority w:val="0"/>
    <w:pPr>
      <w:tabs>
        <w:tab w:val="left" w:pos="840"/>
      </w:tabs>
    </w:pPr>
  </w:style>
  <w:style w:type="paragraph" w:customStyle="1" w:styleId="15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1">
    <w:name w:val="目录 21"/>
    <w:basedOn w:val="1"/>
    <w:next w:val="1"/>
    <w:semiHidden/>
    <w:qFormat/>
    <w:uiPriority w:val="0"/>
    <w:pPr>
      <w:adjustRightInd/>
      <w:spacing w:line="240" w:lineRule="auto"/>
    </w:pPr>
    <w:rPr>
      <w:bCs/>
      <w:iCs/>
    </w:rPr>
  </w:style>
  <w:style w:type="paragraph" w:customStyle="1" w:styleId="152">
    <w:name w:val="目录 31"/>
    <w:basedOn w:val="1"/>
    <w:next w:val="1"/>
    <w:semiHidden/>
    <w:qFormat/>
    <w:uiPriority w:val="0"/>
    <w:pPr>
      <w:spacing w:line="240" w:lineRule="auto"/>
    </w:pPr>
    <w:rPr>
      <w:rFonts w:ascii="宋体" w:hAnsi="宋体"/>
      <w:iCs/>
    </w:rPr>
  </w:style>
  <w:style w:type="paragraph" w:customStyle="1" w:styleId="153">
    <w:name w:val="目录 41"/>
    <w:basedOn w:val="1"/>
    <w:next w:val="1"/>
    <w:semiHidden/>
    <w:qFormat/>
    <w:uiPriority w:val="0"/>
    <w:pPr>
      <w:adjustRightInd/>
      <w:spacing w:line="240" w:lineRule="auto"/>
    </w:pPr>
  </w:style>
  <w:style w:type="paragraph" w:customStyle="1" w:styleId="154">
    <w:name w:val="目录 51"/>
    <w:basedOn w:val="1"/>
    <w:next w:val="1"/>
    <w:semiHidden/>
    <w:qFormat/>
    <w:uiPriority w:val="0"/>
    <w:pPr>
      <w:spacing w:line="240" w:lineRule="auto"/>
    </w:pPr>
    <w:rPr>
      <w:rFonts w:ascii="宋体" w:hAnsi="宋体"/>
    </w:rPr>
  </w:style>
  <w:style w:type="paragraph" w:customStyle="1" w:styleId="155">
    <w:name w:val="目录 61"/>
    <w:basedOn w:val="1"/>
    <w:next w:val="1"/>
    <w:semiHidden/>
    <w:qFormat/>
    <w:uiPriority w:val="0"/>
    <w:pPr>
      <w:adjustRightInd/>
      <w:spacing w:line="240" w:lineRule="auto"/>
    </w:pPr>
  </w:style>
  <w:style w:type="paragraph" w:customStyle="1" w:styleId="156">
    <w:name w:val="目录 71"/>
    <w:basedOn w:val="155"/>
    <w:semiHidden/>
    <w:qFormat/>
    <w:uiPriority w:val="0"/>
    <w:pPr>
      <w:ind w:left="1260"/>
    </w:pPr>
  </w:style>
  <w:style w:type="paragraph" w:customStyle="1" w:styleId="157">
    <w:name w:val="目录 81"/>
    <w:basedOn w:val="156"/>
    <w:semiHidden/>
    <w:qFormat/>
    <w:uiPriority w:val="0"/>
    <w:pPr>
      <w:ind w:left="1470"/>
    </w:pPr>
  </w:style>
  <w:style w:type="paragraph" w:customStyle="1" w:styleId="158">
    <w:name w:val="目录 91"/>
    <w:basedOn w:val="157"/>
    <w:semiHidden/>
    <w:qFormat/>
    <w:uiPriority w:val="0"/>
    <w:pPr>
      <w:ind w:left="1680"/>
    </w:pPr>
  </w:style>
  <w:style w:type="paragraph" w:customStyle="1" w:styleId="15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60">
    <w:name w:val="其他发布部门"/>
    <w:basedOn w:val="128"/>
    <w:qFormat/>
    <w:uiPriority w:val="0"/>
    <w:pPr>
      <w:framePr w:wrap="around"/>
      <w:spacing w:line="0" w:lineRule="atLeast"/>
    </w:pPr>
    <w:rPr>
      <w:rFonts w:ascii="黑体" w:eastAsia="黑体"/>
      <w:b w:val="0"/>
    </w:rPr>
  </w:style>
  <w:style w:type="paragraph" w:customStyle="1" w:styleId="161">
    <w:name w:val="前言标题"/>
    <w:next w:val="1"/>
    <w:qFormat/>
    <w:uiPriority w:val="99"/>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2">
    <w:name w:val="三级无标题条"/>
    <w:basedOn w:val="1"/>
    <w:qFormat/>
    <w:uiPriority w:val="0"/>
    <w:pPr>
      <w:numPr>
        <w:ilvl w:val="4"/>
        <w:numId w:val="19"/>
      </w:numPr>
      <w:adjustRightInd/>
      <w:spacing w:line="240" w:lineRule="auto"/>
    </w:pPr>
    <w:rPr>
      <w:rFonts w:ascii="宋体" w:hAnsi="宋体"/>
      <w:szCs w:val="24"/>
    </w:rPr>
  </w:style>
  <w:style w:type="paragraph" w:customStyle="1" w:styleId="163">
    <w:name w:val="实施日期"/>
    <w:basedOn w:val="129"/>
    <w:qFormat/>
    <w:uiPriority w:val="0"/>
    <w:pPr>
      <w:framePr w:hSpace="0" w:wrap="around" w:xAlign="right"/>
      <w:jc w:val="right"/>
    </w:pPr>
  </w:style>
  <w:style w:type="paragraph" w:customStyle="1" w:styleId="164">
    <w:name w:val="四级无标题条"/>
    <w:basedOn w:val="1"/>
    <w:qFormat/>
    <w:uiPriority w:val="0"/>
    <w:pPr>
      <w:numPr>
        <w:ilvl w:val="5"/>
        <w:numId w:val="19"/>
      </w:numPr>
      <w:adjustRightInd/>
      <w:spacing w:line="240" w:lineRule="auto"/>
    </w:pPr>
    <w:rPr>
      <w:rFonts w:ascii="宋体" w:hAnsi="宋体"/>
      <w:szCs w:val="24"/>
    </w:rPr>
  </w:style>
  <w:style w:type="paragraph" w:customStyle="1" w:styleId="16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6">
    <w:name w:val="无标题条"/>
    <w:next w:val="65"/>
    <w:qFormat/>
    <w:uiPriority w:val="0"/>
    <w:pPr>
      <w:jc w:val="both"/>
    </w:pPr>
    <w:rPr>
      <w:rFonts w:ascii="宋体" w:hAnsi="宋体" w:eastAsia="宋体" w:cs="Times New Roman"/>
      <w:sz w:val="21"/>
      <w:lang w:val="en-US" w:eastAsia="zh-CN" w:bidi="ar-SA"/>
    </w:rPr>
  </w:style>
  <w:style w:type="paragraph" w:customStyle="1" w:styleId="167">
    <w:name w:val="五级无标题条"/>
    <w:basedOn w:val="1"/>
    <w:qFormat/>
    <w:uiPriority w:val="0"/>
    <w:pPr>
      <w:numPr>
        <w:ilvl w:val="6"/>
        <w:numId w:val="19"/>
      </w:numPr>
      <w:adjustRightInd/>
    </w:pPr>
    <w:rPr>
      <w:szCs w:val="24"/>
    </w:rPr>
  </w:style>
  <w:style w:type="paragraph" w:customStyle="1" w:styleId="168">
    <w:name w:val="一级无标题条"/>
    <w:basedOn w:val="1"/>
    <w:qFormat/>
    <w:uiPriority w:val="0"/>
    <w:pPr>
      <w:numPr>
        <w:ilvl w:val="2"/>
        <w:numId w:val="19"/>
      </w:numPr>
      <w:adjustRightInd/>
      <w:spacing w:before="10" w:after="10" w:line="240" w:lineRule="auto"/>
    </w:pPr>
    <w:rPr>
      <w:rFonts w:ascii="宋体" w:hAnsi="宋体"/>
      <w:szCs w:val="24"/>
    </w:rPr>
  </w:style>
  <w:style w:type="paragraph" w:customStyle="1" w:styleId="169">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0">
    <w:name w:val="注×:后续"/>
    <w:basedOn w:val="169"/>
    <w:qFormat/>
    <w:uiPriority w:val="0"/>
    <w:pPr>
      <w:ind w:left="1406" w:leftChars="0" w:hanging="499" w:firstLineChars="0"/>
    </w:pPr>
  </w:style>
  <w:style w:type="paragraph" w:customStyle="1" w:styleId="171">
    <w:name w:val="标准文件_一级无标题"/>
    <w:basedOn w:val="114"/>
    <w:qFormat/>
    <w:uiPriority w:val="0"/>
    <w:pPr>
      <w:spacing w:beforeLines="0" w:afterLines="0"/>
      <w:outlineLvl w:val="9"/>
    </w:pPr>
    <w:rPr>
      <w:rFonts w:ascii="宋体" w:eastAsia="宋体"/>
    </w:rPr>
  </w:style>
  <w:style w:type="paragraph" w:customStyle="1" w:styleId="172">
    <w:name w:val="标准文件_五级无标题"/>
    <w:basedOn w:val="112"/>
    <w:qFormat/>
    <w:uiPriority w:val="0"/>
    <w:pPr>
      <w:spacing w:beforeLines="0" w:afterLines="0"/>
      <w:outlineLvl w:val="9"/>
    </w:pPr>
    <w:rPr>
      <w:rFonts w:ascii="宋体" w:eastAsia="宋体"/>
    </w:rPr>
  </w:style>
  <w:style w:type="paragraph" w:customStyle="1" w:styleId="173">
    <w:name w:val="标准文件_三级无标题"/>
    <w:basedOn w:val="103"/>
    <w:qFormat/>
    <w:uiPriority w:val="0"/>
    <w:pPr>
      <w:spacing w:beforeLines="0" w:afterLines="0"/>
      <w:outlineLvl w:val="9"/>
    </w:pPr>
    <w:rPr>
      <w:rFonts w:ascii="宋体" w:eastAsia="宋体"/>
    </w:rPr>
  </w:style>
  <w:style w:type="paragraph" w:customStyle="1" w:styleId="174">
    <w:name w:val="标准文件_二级无标题"/>
    <w:basedOn w:val="74"/>
    <w:qFormat/>
    <w:uiPriority w:val="0"/>
    <w:pPr>
      <w:spacing w:beforeLines="0" w:afterLines="0"/>
      <w:outlineLvl w:val="9"/>
    </w:pPr>
    <w:rPr>
      <w:rFonts w:ascii="宋体" w:eastAsia="宋体"/>
    </w:rPr>
  </w:style>
  <w:style w:type="paragraph" w:customStyle="1" w:styleId="175">
    <w:name w:val="标准_四级无标题"/>
    <w:basedOn w:val="107"/>
    <w:next w:val="65"/>
    <w:qFormat/>
    <w:uiPriority w:val="0"/>
    <w:rPr>
      <w:rFonts w:eastAsia="宋体"/>
    </w:rPr>
  </w:style>
  <w:style w:type="paragraph" w:customStyle="1" w:styleId="176">
    <w:name w:val="标准文件_四级无标题"/>
    <w:basedOn w:val="107"/>
    <w:qFormat/>
    <w:uiPriority w:val="0"/>
    <w:pPr>
      <w:spacing w:beforeLines="0" w:afterLines="0"/>
      <w:outlineLvl w:val="9"/>
    </w:pPr>
    <w:rPr>
      <w:rFonts w:ascii="宋体" w:hAnsi="黑体" w:eastAsia="宋体"/>
      <w:szCs w:val="52"/>
    </w:rPr>
  </w:style>
  <w:style w:type="paragraph" w:customStyle="1" w:styleId="177">
    <w:name w:val="标准文件_大写罗马数字编号列项"/>
    <w:basedOn w:val="65"/>
    <w:qFormat/>
    <w:uiPriority w:val="0"/>
    <w:pPr>
      <w:numPr>
        <w:ilvl w:val="0"/>
        <w:numId w:val="22"/>
      </w:numPr>
      <w:ind w:firstLine="0" w:firstLineChars="0"/>
    </w:pPr>
    <w:rPr>
      <w:rFonts w:ascii="Times New Roman" w:cs="Arial"/>
      <w:szCs w:val="28"/>
    </w:rPr>
  </w:style>
  <w:style w:type="paragraph" w:customStyle="1" w:styleId="178">
    <w:name w:val="标准文件_小写罗马数字编号列项"/>
    <w:basedOn w:val="65"/>
    <w:qFormat/>
    <w:uiPriority w:val="0"/>
    <w:pPr>
      <w:numPr>
        <w:ilvl w:val="0"/>
        <w:numId w:val="23"/>
      </w:numPr>
      <w:ind w:firstLine="0" w:firstLineChars="0"/>
    </w:pPr>
    <w:rPr>
      <w:rFonts w:cs="Arial"/>
      <w:szCs w:val="28"/>
    </w:rPr>
  </w:style>
  <w:style w:type="paragraph" w:customStyle="1" w:styleId="179">
    <w:name w:val="标准文件_附录标题"/>
    <w:basedOn w:val="85"/>
    <w:qFormat/>
    <w:uiPriority w:val="0"/>
    <w:pPr>
      <w:numPr>
        <w:numId w:val="0"/>
      </w:numPr>
      <w:spacing w:after="280"/>
      <w:outlineLvl w:val="9"/>
    </w:pPr>
  </w:style>
  <w:style w:type="paragraph" w:customStyle="1" w:styleId="180">
    <w:name w:val="标准文件_二级项"/>
    <w:qFormat/>
    <w:uiPriority w:val="0"/>
    <w:rPr>
      <w:rFonts w:ascii="宋体" w:hAnsi="Times New Roman" w:eastAsia="宋体" w:cs="Times New Roman"/>
      <w:sz w:val="21"/>
      <w:lang w:val="en-US" w:eastAsia="zh-CN" w:bidi="ar-SA"/>
    </w:rPr>
  </w:style>
  <w:style w:type="paragraph" w:customStyle="1" w:styleId="181">
    <w:name w:val="标准文件_三级项"/>
    <w:basedOn w:val="1"/>
    <w:qFormat/>
    <w:uiPriority w:val="0"/>
    <w:pPr>
      <w:numPr>
        <w:ilvl w:val="2"/>
        <w:numId w:val="20"/>
      </w:numPr>
      <w:spacing w:line="536870612" w:lineRule="auto"/>
    </w:pPr>
    <w:rPr>
      <w:rFonts w:ascii="Times New Roman" w:hAnsi="Times New Roman"/>
    </w:rPr>
  </w:style>
  <w:style w:type="paragraph" w:customStyle="1" w:styleId="182">
    <w:name w:val="图表脚注说明"/>
    <w:basedOn w:val="1"/>
    <w:next w:val="65"/>
    <w:qFormat/>
    <w:uiPriority w:val="0"/>
    <w:pPr>
      <w:numPr>
        <w:ilvl w:val="0"/>
        <w:numId w:val="24"/>
      </w:numPr>
      <w:adjustRightInd/>
      <w:spacing w:line="240" w:lineRule="auto"/>
      <w:ind w:left="783"/>
    </w:pPr>
    <w:rPr>
      <w:rFonts w:ascii="宋体" w:hAnsi="Times New Roman"/>
      <w:sz w:val="18"/>
      <w:szCs w:val="18"/>
    </w:rPr>
  </w:style>
  <w:style w:type="paragraph" w:customStyle="1" w:styleId="183">
    <w:name w:val="标准文件_字母编号列项（一级）"/>
    <w:qFormat/>
    <w:uiPriority w:val="0"/>
    <w:pPr>
      <w:numPr>
        <w:ilvl w:val="0"/>
        <w:numId w:val="12"/>
      </w:numPr>
      <w:jc w:val="both"/>
    </w:pPr>
    <w:rPr>
      <w:rFonts w:ascii="宋体" w:hAnsi="Times New Roman" w:eastAsia="宋体" w:cs="Times New Roman"/>
      <w:sz w:val="21"/>
      <w:lang w:val="en-US" w:eastAsia="zh-CN" w:bidi="ar-SA"/>
    </w:rPr>
  </w:style>
  <w:style w:type="paragraph" w:customStyle="1" w:styleId="184">
    <w:name w:val="标准文件_索引字母"/>
    <w:next w:val="65"/>
    <w:qFormat/>
    <w:uiPriority w:val="0"/>
    <w:pPr>
      <w:jc w:val="center"/>
    </w:pPr>
    <w:rPr>
      <w:rFonts w:ascii="宋体" w:hAnsi="宋体" w:eastAsia="Times New Roman" w:cs="Times New Roman"/>
      <w:b/>
      <w:kern w:val="2"/>
      <w:sz w:val="21"/>
      <w:lang w:val="en-US" w:eastAsia="zh-CN" w:bidi="ar-SA"/>
    </w:rPr>
  </w:style>
  <w:style w:type="paragraph" w:customStyle="1" w:styleId="185">
    <w:name w:val="标准文件_附录前"/>
    <w:next w:val="65"/>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6">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7">
    <w:name w:val="标准文件_表格"/>
    <w:basedOn w:val="65"/>
    <w:qFormat/>
    <w:uiPriority w:val="0"/>
    <w:pPr>
      <w:ind w:firstLine="0" w:firstLineChars="0"/>
      <w:jc w:val="center"/>
    </w:pPr>
    <w:rPr>
      <w:sz w:val="18"/>
    </w:rPr>
  </w:style>
  <w:style w:type="paragraph" w:customStyle="1" w:styleId="188">
    <w:name w:val="标准文件_注："/>
    <w:next w:val="65"/>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9">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90">
    <w:name w:val="标准文件_示例："/>
    <w:next w:val="191"/>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91">
    <w:name w:val="标准文件_示例内容"/>
    <w:basedOn w:val="65"/>
    <w:qFormat/>
    <w:uiPriority w:val="0"/>
    <w:pPr>
      <w:ind w:firstLine="420"/>
    </w:pPr>
    <w:rPr>
      <w:sz w:val="18"/>
    </w:rPr>
  </w:style>
  <w:style w:type="paragraph" w:customStyle="1" w:styleId="192">
    <w:name w:val="标准文件_示例×："/>
    <w:basedOn w:val="1"/>
    <w:next w:val="191"/>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93">
    <w:name w:val="标准文件_段 Char"/>
    <w:link w:val="65"/>
    <w:qFormat/>
    <w:uiPriority w:val="0"/>
    <w:rPr>
      <w:rFonts w:ascii="宋体" w:hAnsi="Times New Roman"/>
      <w:sz w:val="21"/>
    </w:rPr>
  </w:style>
  <w:style w:type="paragraph" w:customStyle="1" w:styleId="194">
    <w:name w:val="标准文件_表格续"/>
    <w:basedOn w:val="65"/>
    <w:next w:val="65"/>
    <w:qFormat/>
    <w:uiPriority w:val="0"/>
    <w:pPr>
      <w:jc w:val="center"/>
    </w:pPr>
    <w:rPr>
      <w:rFonts w:ascii="黑体" w:hAnsi="黑体" w:eastAsia="黑体"/>
    </w:rPr>
  </w:style>
  <w:style w:type="character" w:styleId="195">
    <w:name w:val="Placeholder Text"/>
    <w:semiHidden/>
    <w:qFormat/>
    <w:uiPriority w:val="99"/>
    <w:rPr>
      <w:color w:val="808080"/>
    </w:rPr>
  </w:style>
  <w:style w:type="paragraph" w:customStyle="1" w:styleId="196">
    <w:name w:val="标准文件_二级项2"/>
    <w:basedOn w:val="65"/>
    <w:qFormat/>
    <w:uiPriority w:val="0"/>
    <w:pPr>
      <w:numPr>
        <w:ilvl w:val="1"/>
        <w:numId w:val="20"/>
      </w:numPr>
      <w:ind w:left="1271" w:hanging="420" w:firstLineChars="0"/>
    </w:pPr>
  </w:style>
  <w:style w:type="paragraph" w:customStyle="1" w:styleId="197">
    <w:name w:val="标准文件_三级项2"/>
    <w:basedOn w:val="65"/>
    <w:qFormat/>
    <w:uiPriority w:val="0"/>
    <w:pPr>
      <w:numPr>
        <w:ilvl w:val="0"/>
        <w:numId w:val="29"/>
      </w:numPr>
      <w:spacing w:line="300" w:lineRule="exact"/>
      <w:ind w:left="1276" w:hanging="425" w:firstLineChars="0"/>
    </w:pPr>
    <w:rPr>
      <w:rFonts w:ascii="Times New Roman"/>
    </w:rPr>
  </w:style>
  <w:style w:type="paragraph" w:customStyle="1" w:styleId="198">
    <w:name w:val="标准文件_一级项2"/>
    <w:basedOn w:val="65"/>
    <w:qFormat/>
    <w:uiPriority w:val="0"/>
    <w:pPr>
      <w:numPr>
        <w:ilvl w:val="0"/>
        <w:numId w:val="30"/>
      </w:numPr>
      <w:spacing w:line="300" w:lineRule="exact"/>
      <w:ind w:left="1271" w:hanging="420" w:firstLineChars="0"/>
    </w:pPr>
    <w:rPr>
      <w:rFonts w:ascii="Times New Roman"/>
    </w:rPr>
  </w:style>
  <w:style w:type="paragraph" w:customStyle="1" w:styleId="199">
    <w:name w:val="标准文件_提示"/>
    <w:basedOn w:val="65"/>
    <w:next w:val="65"/>
    <w:qFormat/>
    <w:uiPriority w:val="0"/>
    <w:pPr>
      <w:ind w:firstLine="420"/>
    </w:pPr>
    <w:rPr>
      <w:rFonts w:ascii="黑体" w:eastAsia="黑体"/>
    </w:rPr>
  </w:style>
  <w:style w:type="character" w:customStyle="1" w:styleId="200">
    <w:name w:val="标准文件_来源"/>
    <w:qFormat/>
    <w:uiPriority w:val="1"/>
    <w:rPr>
      <w:rFonts w:eastAsia="宋体"/>
      <w:sz w:val="21"/>
    </w:rPr>
  </w:style>
  <w:style w:type="paragraph" w:customStyle="1" w:styleId="201">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2">
    <w:name w:val="其他发布日期"/>
    <w:basedOn w:val="129"/>
    <w:qFormat/>
    <w:uiPriority w:val="0"/>
    <w:pPr>
      <w:framePr w:w="3997" w:h="471" w:hRule="exact" w:hSpace="0" w:vSpace="181" w:wrap="around" w:vAnchor="page" w:hAnchor="page" w:x="1419" w:y="14097"/>
    </w:pPr>
  </w:style>
  <w:style w:type="paragraph" w:customStyle="1" w:styleId="203">
    <w:name w:val="其他实施日期"/>
    <w:basedOn w:val="163"/>
    <w:qFormat/>
    <w:uiPriority w:val="0"/>
    <w:pPr>
      <w:framePr w:w="3997" w:h="471" w:hRule="exact" w:vSpace="181" w:wrap="around" w:vAnchor="page" w:hAnchor="page" w:x="7089" w:y="14097"/>
    </w:pPr>
  </w:style>
  <w:style w:type="paragraph" w:customStyle="1" w:styleId="204">
    <w:name w:val="标准文件_文件编号"/>
    <w:basedOn w:val="65"/>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5">
    <w:name w:val="标准文件_替换文件编号"/>
    <w:basedOn w:val="204"/>
    <w:qFormat/>
    <w:uiPriority w:val="0"/>
    <w:pPr>
      <w:spacing w:before="57"/>
    </w:pPr>
    <w:rPr>
      <w:sz w:val="21"/>
    </w:rPr>
  </w:style>
  <w:style w:type="paragraph" w:customStyle="1" w:styleId="206">
    <w:name w:val="标准文件_文件名称"/>
    <w:basedOn w:val="65"/>
    <w:next w:val="65"/>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7">
    <w:name w:val="标准文件_附录图标号"/>
    <w:basedOn w:val="65"/>
    <w:next w:val="65"/>
    <w:qFormat/>
    <w:uiPriority w:val="0"/>
    <w:pPr>
      <w:numPr>
        <w:ilvl w:val="0"/>
        <w:numId w:val="5"/>
      </w:numPr>
      <w:spacing w:line="14" w:lineRule="exact"/>
      <w:ind w:firstLine="0" w:firstLineChars="0"/>
      <w:jc w:val="center"/>
    </w:pPr>
    <w:rPr>
      <w:rFonts w:ascii="黑体" w:hAnsi="黑体" w:eastAsia="黑体"/>
      <w:vanish/>
      <w:sz w:val="2"/>
      <w:szCs w:val="21"/>
    </w:rPr>
  </w:style>
  <w:style w:type="paragraph" w:customStyle="1" w:styleId="208">
    <w:name w:val="标准文件_附录表标号"/>
    <w:basedOn w:val="65"/>
    <w:next w:val="65"/>
    <w:qFormat/>
    <w:uiPriority w:val="0"/>
    <w:pPr>
      <w:numPr>
        <w:ilvl w:val="0"/>
        <w:numId w:val="4"/>
      </w:numPr>
      <w:spacing w:line="14" w:lineRule="exact"/>
      <w:ind w:firstLine="0" w:firstLineChars="0"/>
      <w:jc w:val="center"/>
    </w:pPr>
    <w:rPr>
      <w:rFonts w:eastAsia="黑体"/>
      <w:vanish/>
      <w:sz w:val="2"/>
    </w:rPr>
  </w:style>
  <w:style w:type="paragraph" w:customStyle="1" w:styleId="209">
    <w:name w:val="标准文件_引言一级条标题"/>
    <w:basedOn w:val="65"/>
    <w:next w:val="65"/>
    <w:qFormat/>
    <w:uiPriority w:val="0"/>
    <w:pPr>
      <w:numPr>
        <w:ilvl w:val="1"/>
        <w:numId w:val="7"/>
      </w:numPr>
      <w:spacing w:beforeLines="50" w:afterLines="50"/>
      <w:ind w:firstLineChars="0"/>
    </w:pPr>
    <w:rPr>
      <w:rFonts w:ascii="黑体" w:eastAsia="黑体"/>
    </w:rPr>
  </w:style>
  <w:style w:type="paragraph" w:customStyle="1" w:styleId="210">
    <w:name w:val="标准文件_引言二级条标题"/>
    <w:basedOn w:val="65"/>
    <w:next w:val="65"/>
    <w:qFormat/>
    <w:uiPriority w:val="0"/>
    <w:pPr>
      <w:numPr>
        <w:ilvl w:val="2"/>
        <w:numId w:val="7"/>
      </w:numPr>
      <w:spacing w:beforeLines="50" w:afterLines="50"/>
      <w:ind w:firstLineChars="0"/>
    </w:pPr>
    <w:rPr>
      <w:rFonts w:ascii="黑体" w:eastAsia="黑体"/>
    </w:rPr>
  </w:style>
  <w:style w:type="paragraph" w:customStyle="1" w:styleId="211">
    <w:name w:val="标准文件_引言三级条标题"/>
    <w:basedOn w:val="65"/>
    <w:next w:val="65"/>
    <w:qFormat/>
    <w:uiPriority w:val="0"/>
    <w:pPr>
      <w:numPr>
        <w:ilvl w:val="3"/>
        <w:numId w:val="7"/>
      </w:numPr>
      <w:spacing w:beforeLines="50" w:afterLines="50"/>
      <w:ind w:firstLineChars="0"/>
    </w:pPr>
    <w:rPr>
      <w:rFonts w:ascii="黑体" w:eastAsia="黑体"/>
    </w:rPr>
  </w:style>
  <w:style w:type="paragraph" w:customStyle="1" w:styleId="212">
    <w:name w:val="标准文件_引言四级条标题"/>
    <w:basedOn w:val="65"/>
    <w:next w:val="65"/>
    <w:qFormat/>
    <w:uiPriority w:val="0"/>
    <w:pPr>
      <w:numPr>
        <w:ilvl w:val="4"/>
        <w:numId w:val="7"/>
      </w:numPr>
      <w:spacing w:beforeLines="50" w:afterLines="50"/>
      <w:ind w:firstLineChars="0"/>
    </w:pPr>
    <w:rPr>
      <w:rFonts w:ascii="黑体" w:eastAsia="黑体"/>
    </w:rPr>
  </w:style>
  <w:style w:type="paragraph" w:customStyle="1" w:styleId="213">
    <w:name w:val="标准文件_引言五级条标题"/>
    <w:basedOn w:val="65"/>
    <w:next w:val="65"/>
    <w:qFormat/>
    <w:uiPriority w:val="0"/>
    <w:pPr>
      <w:numPr>
        <w:ilvl w:val="5"/>
        <w:numId w:val="7"/>
      </w:numPr>
      <w:spacing w:beforeLines="50" w:afterLines="50"/>
      <w:ind w:firstLineChars="0"/>
    </w:pPr>
    <w:rPr>
      <w:rFonts w:ascii="黑体" w:eastAsia="黑体"/>
    </w:rPr>
  </w:style>
  <w:style w:type="paragraph" w:customStyle="1" w:styleId="214">
    <w:name w:val="标准文件_注后"/>
    <w:basedOn w:val="65"/>
    <w:qFormat/>
    <w:uiPriority w:val="0"/>
    <w:pPr>
      <w:ind w:left="811" w:firstLine="0" w:firstLineChars="0"/>
    </w:pPr>
    <w:rPr>
      <w:sz w:val="18"/>
    </w:rPr>
  </w:style>
  <w:style w:type="paragraph" w:customStyle="1" w:styleId="215">
    <w:name w:val="标准文件_注X后"/>
    <w:basedOn w:val="65"/>
    <w:qFormat/>
    <w:uiPriority w:val="0"/>
    <w:pPr>
      <w:ind w:left="811" w:firstLine="0" w:firstLineChars="0"/>
    </w:pPr>
    <w:rPr>
      <w:sz w:val="18"/>
    </w:rPr>
  </w:style>
  <w:style w:type="paragraph" w:customStyle="1" w:styleId="216">
    <w:name w:val="标准文件_示例后"/>
    <w:basedOn w:val="65"/>
    <w:qFormat/>
    <w:uiPriority w:val="0"/>
    <w:pPr>
      <w:ind w:left="964" w:firstLine="0" w:firstLineChars="0"/>
    </w:pPr>
    <w:rPr>
      <w:sz w:val="18"/>
    </w:rPr>
  </w:style>
  <w:style w:type="paragraph" w:customStyle="1" w:styleId="217">
    <w:name w:val="标准文件_示例X后"/>
    <w:basedOn w:val="65"/>
    <w:link w:val="218"/>
    <w:qFormat/>
    <w:uiPriority w:val="0"/>
    <w:pPr>
      <w:ind w:left="1049" w:firstLine="0" w:firstLineChars="0"/>
    </w:pPr>
    <w:rPr>
      <w:sz w:val="18"/>
    </w:rPr>
  </w:style>
  <w:style w:type="character" w:customStyle="1" w:styleId="218">
    <w:name w:val="标准文件_示例X后 字符"/>
    <w:link w:val="217"/>
    <w:qFormat/>
    <w:uiPriority w:val="0"/>
    <w:rPr>
      <w:rFonts w:ascii="宋体" w:hAnsi="Times New Roman"/>
      <w:sz w:val="18"/>
    </w:rPr>
  </w:style>
  <w:style w:type="paragraph" w:customStyle="1" w:styleId="219">
    <w:name w:val="标准文件_索引项"/>
    <w:basedOn w:val="65"/>
    <w:next w:val="65"/>
    <w:qFormat/>
    <w:uiPriority w:val="0"/>
    <w:pPr>
      <w:tabs>
        <w:tab w:val="right" w:leader="dot" w:pos="9356"/>
      </w:tabs>
      <w:ind w:left="210" w:hanging="210" w:firstLineChars="0"/>
      <w:jc w:val="left"/>
    </w:pPr>
  </w:style>
  <w:style w:type="paragraph" w:customStyle="1" w:styleId="220">
    <w:name w:val="标准文件_附录一级无标题"/>
    <w:basedOn w:val="87"/>
    <w:qFormat/>
    <w:uiPriority w:val="0"/>
    <w:pPr>
      <w:spacing w:beforeLines="0" w:afterLines="0" w:line="276" w:lineRule="auto"/>
      <w:outlineLvl w:val="9"/>
    </w:pPr>
    <w:rPr>
      <w:rFonts w:ascii="宋体" w:eastAsia="宋体"/>
    </w:rPr>
  </w:style>
  <w:style w:type="paragraph" w:customStyle="1" w:styleId="221">
    <w:name w:val="标准文件_附录二级无标题"/>
    <w:basedOn w:val="88"/>
    <w:qFormat/>
    <w:uiPriority w:val="0"/>
    <w:pPr>
      <w:spacing w:beforeLines="0" w:afterLines="0" w:line="276" w:lineRule="auto"/>
      <w:outlineLvl w:val="9"/>
    </w:pPr>
    <w:rPr>
      <w:rFonts w:ascii="宋体" w:eastAsia="宋体"/>
    </w:rPr>
  </w:style>
  <w:style w:type="paragraph" w:customStyle="1" w:styleId="222">
    <w:name w:val="标准文件_附录三级无标题"/>
    <w:basedOn w:val="90"/>
    <w:qFormat/>
    <w:uiPriority w:val="0"/>
    <w:pPr>
      <w:spacing w:beforeLines="0" w:afterLines="0" w:line="276" w:lineRule="auto"/>
      <w:outlineLvl w:val="9"/>
    </w:pPr>
    <w:rPr>
      <w:rFonts w:ascii="宋体" w:eastAsia="宋体"/>
    </w:rPr>
  </w:style>
  <w:style w:type="paragraph" w:customStyle="1" w:styleId="223">
    <w:name w:val="标准文件_附录四级无标题"/>
    <w:basedOn w:val="91"/>
    <w:qFormat/>
    <w:uiPriority w:val="0"/>
    <w:pPr>
      <w:spacing w:beforeLines="0" w:afterLines="0" w:line="276" w:lineRule="auto"/>
      <w:outlineLvl w:val="9"/>
    </w:pPr>
    <w:rPr>
      <w:rFonts w:ascii="宋体" w:eastAsia="宋体"/>
    </w:rPr>
  </w:style>
  <w:style w:type="paragraph" w:customStyle="1" w:styleId="224">
    <w:name w:val="标准文件_附录五级无标题"/>
    <w:basedOn w:val="93"/>
    <w:qFormat/>
    <w:uiPriority w:val="0"/>
    <w:pPr>
      <w:spacing w:beforeLines="0" w:afterLines="0" w:line="276" w:lineRule="auto"/>
      <w:outlineLvl w:val="9"/>
    </w:pPr>
    <w:rPr>
      <w:rFonts w:ascii="宋体" w:eastAsia="宋体"/>
    </w:rPr>
  </w:style>
  <w:style w:type="paragraph" w:customStyle="1" w:styleId="225">
    <w:name w:val="标准文件_引言一级无标题"/>
    <w:basedOn w:val="209"/>
    <w:next w:val="65"/>
    <w:qFormat/>
    <w:uiPriority w:val="0"/>
    <w:pPr>
      <w:spacing w:beforeLines="0" w:afterLines="0" w:line="276" w:lineRule="auto"/>
    </w:pPr>
    <w:rPr>
      <w:rFonts w:ascii="宋体" w:eastAsia="宋体"/>
    </w:rPr>
  </w:style>
  <w:style w:type="paragraph" w:customStyle="1" w:styleId="226">
    <w:name w:val="标准文件_引言二级无标题"/>
    <w:basedOn w:val="210"/>
    <w:next w:val="65"/>
    <w:qFormat/>
    <w:uiPriority w:val="0"/>
    <w:pPr>
      <w:spacing w:beforeLines="0" w:afterLines="0" w:line="276" w:lineRule="auto"/>
    </w:pPr>
    <w:rPr>
      <w:rFonts w:ascii="宋体" w:eastAsia="宋体"/>
    </w:rPr>
  </w:style>
  <w:style w:type="paragraph" w:customStyle="1" w:styleId="227">
    <w:name w:val="标准文件_引言三级无标题"/>
    <w:basedOn w:val="211"/>
    <w:next w:val="65"/>
    <w:qFormat/>
    <w:uiPriority w:val="0"/>
    <w:pPr>
      <w:spacing w:beforeLines="0" w:afterLines="0" w:line="276" w:lineRule="auto"/>
    </w:pPr>
    <w:rPr>
      <w:rFonts w:ascii="宋体" w:eastAsia="宋体"/>
    </w:rPr>
  </w:style>
  <w:style w:type="paragraph" w:customStyle="1" w:styleId="228">
    <w:name w:val="标准文件_引言四级无标题"/>
    <w:basedOn w:val="212"/>
    <w:next w:val="65"/>
    <w:qFormat/>
    <w:uiPriority w:val="0"/>
    <w:pPr>
      <w:spacing w:beforeLines="0" w:afterLines="0" w:line="276" w:lineRule="auto"/>
    </w:pPr>
    <w:rPr>
      <w:rFonts w:ascii="宋体" w:eastAsia="宋体"/>
    </w:rPr>
  </w:style>
  <w:style w:type="paragraph" w:customStyle="1" w:styleId="229">
    <w:name w:val="标准文件_引言五级无标题"/>
    <w:basedOn w:val="213"/>
    <w:next w:val="65"/>
    <w:qFormat/>
    <w:uiPriority w:val="0"/>
    <w:pPr>
      <w:spacing w:beforeLines="0" w:afterLines="0" w:line="276" w:lineRule="auto"/>
    </w:pPr>
    <w:rPr>
      <w:rFonts w:ascii="宋体" w:eastAsia="宋体"/>
    </w:rPr>
  </w:style>
  <w:style w:type="paragraph" w:customStyle="1" w:styleId="230">
    <w:name w:val="标准文件_索引标题"/>
    <w:basedOn w:val="72"/>
    <w:next w:val="65"/>
    <w:qFormat/>
    <w:uiPriority w:val="0"/>
    <w:rPr>
      <w:rFonts w:hAnsi="黑体"/>
    </w:rPr>
  </w:style>
  <w:style w:type="paragraph" w:customStyle="1" w:styleId="231">
    <w:name w:val="标准文件_脚注内容"/>
    <w:basedOn w:val="65"/>
    <w:qFormat/>
    <w:uiPriority w:val="0"/>
    <w:pPr>
      <w:ind w:left="400" w:leftChars="200" w:hanging="200" w:hangingChars="200"/>
    </w:pPr>
    <w:rPr>
      <w:sz w:val="15"/>
    </w:rPr>
  </w:style>
  <w:style w:type="paragraph" w:customStyle="1" w:styleId="232">
    <w:name w:val="标准文件_术语条一"/>
    <w:basedOn w:val="171"/>
    <w:next w:val="65"/>
    <w:qFormat/>
    <w:uiPriority w:val="0"/>
  </w:style>
  <w:style w:type="paragraph" w:customStyle="1" w:styleId="233">
    <w:name w:val="标准文件_术语条二"/>
    <w:basedOn w:val="174"/>
    <w:next w:val="65"/>
    <w:qFormat/>
    <w:uiPriority w:val="0"/>
  </w:style>
  <w:style w:type="paragraph" w:customStyle="1" w:styleId="234">
    <w:name w:val="标准文件_术语条三"/>
    <w:basedOn w:val="173"/>
    <w:next w:val="65"/>
    <w:qFormat/>
    <w:uiPriority w:val="0"/>
  </w:style>
  <w:style w:type="paragraph" w:customStyle="1" w:styleId="235">
    <w:name w:val="标准文件_术语条四"/>
    <w:basedOn w:val="176"/>
    <w:next w:val="65"/>
    <w:qFormat/>
    <w:uiPriority w:val="0"/>
  </w:style>
  <w:style w:type="paragraph" w:customStyle="1" w:styleId="236">
    <w:name w:val="标准文件_术语条五"/>
    <w:basedOn w:val="172"/>
    <w:next w:val="65"/>
    <w:qFormat/>
    <w:uiPriority w:val="0"/>
  </w:style>
  <w:style w:type="paragraph" w:customStyle="1" w:styleId="23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8">
    <w:name w:val="发布"/>
    <w:qFormat/>
    <w:uiPriority w:val="0"/>
    <w:rPr>
      <w:rFonts w:ascii="黑体" w:eastAsia="黑体"/>
      <w:spacing w:val="85"/>
      <w:w w:val="100"/>
      <w:position w:val="3"/>
      <w:sz w:val="28"/>
      <w:szCs w:val="28"/>
    </w:rPr>
  </w:style>
  <w:style w:type="paragraph" w:customStyle="1" w:styleId="239">
    <w:name w:val="示例内容"/>
    <w:qFormat/>
    <w:uiPriority w:val="0"/>
    <w:pPr>
      <w:ind w:firstLine="200" w:firstLineChars="200"/>
    </w:pPr>
    <w:rPr>
      <w:rFonts w:ascii="宋体" w:hAnsi="Times New Roman" w:eastAsia="宋体" w:cs="Times New Roman"/>
      <w:sz w:val="18"/>
      <w:szCs w:val="18"/>
      <w:lang w:val="en-US" w:eastAsia="zh-CN" w:bidi="ar-SA"/>
    </w:rPr>
  </w:style>
  <w:style w:type="character" w:customStyle="1" w:styleId="240">
    <w:name w:val="段 Char"/>
    <w:link w:val="241"/>
    <w:qFormat/>
    <w:locked/>
    <w:uiPriority w:val="99"/>
    <w:rPr>
      <w:rFonts w:ascii="宋体" w:hAnsi="宋体"/>
      <w:sz w:val="21"/>
    </w:rPr>
  </w:style>
  <w:style w:type="paragraph" w:customStyle="1" w:styleId="241">
    <w:name w:val="段"/>
    <w:link w:val="240"/>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customStyle="1" w:styleId="242">
    <w:name w:val="_Style 23"/>
    <w:basedOn w:val="1"/>
    <w:qFormat/>
    <w:uiPriority w:val="0"/>
    <w:pPr>
      <w:widowControl/>
      <w:adjustRightInd/>
      <w:spacing w:after="160" w:line="240" w:lineRule="exact"/>
    </w:pPr>
    <w:rPr>
      <w:rFonts w:ascii="Verdana" w:hAnsi="Verdana" w:eastAsia="仿宋_GB2312" w:cs="”“Times New Roman”“"/>
      <w:kern w:val="0"/>
      <w:sz w:val="24"/>
      <w:szCs w:val="20"/>
      <w:lang w:eastAsia="en-US"/>
    </w:rPr>
  </w:style>
  <w:style w:type="paragraph" w:customStyle="1" w:styleId="243">
    <w:name w:val="示例"/>
    <w:next w:val="239"/>
    <w:link w:val="273"/>
    <w:qFormat/>
    <w:uiPriority w:val="0"/>
    <w:pPr>
      <w:widowControl w:val="0"/>
      <w:ind w:firstLine="363"/>
      <w:jc w:val="both"/>
    </w:pPr>
    <w:rPr>
      <w:rFonts w:ascii="宋体" w:hAnsi="Calibri" w:eastAsia="宋体" w:cs="Times New Roman"/>
      <w:sz w:val="18"/>
      <w:szCs w:val="18"/>
      <w:lang w:val="en-US" w:eastAsia="zh-CN" w:bidi="ar-SA"/>
    </w:rPr>
  </w:style>
  <w:style w:type="paragraph" w:customStyle="1" w:styleId="244">
    <w:name w:val="注：（正文）"/>
    <w:basedOn w:val="245"/>
    <w:next w:val="241"/>
    <w:qFormat/>
    <w:uiPriority w:val="0"/>
  </w:style>
  <w:style w:type="paragraph" w:customStyle="1" w:styleId="245">
    <w:name w:val="注："/>
    <w:next w:val="241"/>
    <w:qFormat/>
    <w:uiPriority w:val="0"/>
    <w:pPr>
      <w:widowControl w:val="0"/>
      <w:autoSpaceDE w:val="0"/>
      <w:autoSpaceDN w:val="0"/>
      <w:ind w:left="726" w:hanging="363"/>
      <w:jc w:val="both"/>
    </w:pPr>
    <w:rPr>
      <w:rFonts w:ascii="宋体" w:hAnsi="Calibri" w:eastAsia="宋体" w:cs="Times New Roman"/>
      <w:sz w:val="18"/>
      <w:szCs w:val="18"/>
      <w:lang w:val="en-US" w:eastAsia="zh-CN" w:bidi="ar-SA"/>
    </w:rPr>
  </w:style>
  <w:style w:type="character" w:customStyle="1" w:styleId="246">
    <w:name w:val="纯文本 字符"/>
    <w:link w:val="18"/>
    <w:qFormat/>
    <w:uiPriority w:val="99"/>
    <w:rPr>
      <w:rFonts w:ascii="宋体" w:hAnsi="Courier New"/>
      <w:kern w:val="2"/>
      <w:sz w:val="21"/>
    </w:rPr>
  </w:style>
  <w:style w:type="paragraph" w:styleId="247">
    <w:name w:val="List Paragraph"/>
    <w:basedOn w:val="1"/>
    <w:link w:val="248"/>
    <w:qFormat/>
    <w:uiPriority w:val="34"/>
    <w:pPr>
      <w:adjustRightInd/>
      <w:spacing w:line="240" w:lineRule="auto"/>
      <w:ind w:firstLine="420" w:firstLineChars="200"/>
    </w:pPr>
    <w:rPr>
      <w:rFonts w:cs="Calibri"/>
    </w:rPr>
  </w:style>
  <w:style w:type="character" w:customStyle="1" w:styleId="248">
    <w:name w:val="列表段落 字符"/>
    <w:link w:val="247"/>
    <w:qFormat/>
    <w:uiPriority w:val="34"/>
    <w:rPr>
      <w:rFonts w:cs="Calibri"/>
      <w:kern w:val="2"/>
      <w:sz w:val="21"/>
      <w:szCs w:val="21"/>
    </w:rPr>
  </w:style>
  <w:style w:type="paragraph" w:customStyle="1" w:styleId="249">
    <w:name w:val="正文表标题"/>
    <w:basedOn w:val="1"/>
    <w:next w:val="1"/>
    <w:link w:val="250"/>
    <w:qFormat/>
    <w:uiPriority w:val="0"/>
    <w:pPr>
      <w:numPr>
        <w:ilvl w:val="0"/>
        <w:numId w:val="31"/>
      </w:numPr>
      <w:spacing w:beforeLines="50" w:afterLines="50" w:line="240" w:lineRule="auto"/>
      <w:jc w:val="center"/>
    </w:pPr>
    <w:rPr>
      <w:rFonts w:ascii="Times New Roman" w:hAnsi="Times New Roman" w:eastAsia="黑体" w:cs="Calibri"/>
    </w:rPr>
  </w:style>
  <w:style w:type="character" w:customStyle="1" w:styleId="250">
    <w:name w:val="正文表标题 字符"/>
    <w:link w:val="249"/>
    <w:qFormat/>
    <w:uiPriority w:val="0"/>
    <w:rPr>
      <w:rFonts w:ascii="Times New Roman" w:hAnsi="Times New Roman" w:eastAsia="黑体" w:cs="Calibri"/>
      <w:kern w:val="2"/>
      <w:sz w:val="21"/>
      <w:szCs w:val="21"/>
    </w:rPr>
  </w:style>
  <w:style w:type="paragraph" w:customStyle="1" w:styleId="251">
    <w:name w:val="正文1"/>
    <w:qFormat/>
    <w:uiPriority w:val="0"/>
    <w:pPr>
      <w:jc w:val="both"/>
    </w:pPr>
    <w:rPr>
      <w:rFonts w:ascii="Calibri" w:hAnsi="Calibri" w:eastAsia="宋体" w:cs="宋体"/>
      <w:kern w:val="2"/>
      <w:sz w:val="21"/>
      <w:szCs w:val="21"/>
      <w:lang w:val="en-US" w:eastAsia="zh-CN" w:bidi="ar-SA"/>
    </w:rPr>
  </w:style>
  <w:style w:type="paragraph" w:customStyle="1" w:styleId="252">
    <w:name w:val="修订1"/>
    <w:hidden/>
    <w:semiHidden/>
    <w:qFormat/>
    <w:uiPriority w:val="99"/>
    <w:rPr>
      <w:rFonts w:ascii="Calibri" w:hAnsi="Calibri" w:eastAsia="宋体" w:cs="Times New Roman"/>
      <w:kern w:val="2"/>
      <w:sz w:val="21"/>
      <w:szCs w:val="21"/>
      <w:lang w:val="en-US" w:eastAsia="zh-CN" w:bidi="ar-SA"/>
    </w:rPr>
  </w:style>
  <w:style w:type="character" w:customStyle="1" w:styleId="253">
    <w:name w:val="批注文字 字符"/>
    <w:link w:val="14"/>
    <w:qFormat/>
    <w:uiPriority w:val="0"/>
    <w:rPr>
      <w:kern w:val="2"/>
      <w:sz w:val="21"/>
      <w:szCs w:val="21"/>
    </w:rPr>
  </w:style>
  <w:style w:type="character" w:customStyle="1" w:styleId="254">
    <w:name w:val="批注主题 字符"/>
    <w:link w:val="32"/>
    <w:semiHidden/>
    <w:qFormat/>
    <w:uiPriority w:val="99"/>
    <w:rPr>
      <w:b/>
      <w:bCs/>
      <w:kern w:val="2"/>
      <w:sz w:val="21"/>
      <w:szCs w:val="21"/>
    </w:rPr>
  </w:style>
  <w:style w:type="paragraph" w:customStyle="1" w:styleId="255">
    <w:name w:val="一级条标题"/>
    <w:next w:val="241"/>
    <w:link w:val="288"/>
    <w:qFormat/>
    <w:uiPriority w:val="0"/>
    <w:pPr>
      <w:numPr>
        <w:ilvl w:val="1"/>
        <w:numId w:val="32"/>
      </w:numPr>
      <w:spacing w:beforeLines="50" w:afterLines="50"/>
      <w:outlineLvl w:val="2"/>
    </w:pPr>
    <w:rPr>
      <w:rFonts w:ascii="黑体" w:hAnsi="Calibri" w:eastAsia="黑体" w:cs="Times New Roman"/>
      <w:sz w:val="21"/>
      <w:szCs w:val="21"/>
      <w:lang w:val="en-US" w:eastAsia="zh-CN" w:bidi="ar-SA"/>
    </w:rPr>
  </w:style>
  <w:style w:type="paragraph" w:customStyle="1" w:styleId="256">
    <w:name w:val="二级条标题"/>
    <w:basedOn w:val="255"/>
    <w:next w:val="241"/>
    <w:link w:val="266"/>
    <w:qFormat/>
    <w:uiPriority w:val="0"/>
    <w:pPr>
      <w:numPr>
        <w:ilvl w:val="2"/>
      </w:numPr>
      <w:spacing w:before="50" w:after="50"/>
      <w:outlineLvl w:val="3"/>
    </w:pPr>
  </w:style>
  <w:style w:type="paragraph" w:customStyle="1" w:styleId="257">
    <w:name w:val="二级无"/>
    <w:basedOn w:val="256"/>
    <w:qFormat/>
    <w:uiPriority w:val="0"/>
    <w:pPr>
      <w:spacing w:beforeLines="0" w:afterLines="0"/>
    </w:pPr>
    <w:rPr>
      <w:rFonts w:ascii="宋体" w:eastAsia="宋体"/>
    </w:rPr>
  </w:style>
  <w:style w:type="paragraph" w:customStyle="1" w:styleId="258">
    <w:name w:val="_Style 253"/>
    <w:basedOn w:val="1"/>
    <w:next w:val="1"/>
    <w:qFormat/>
    <w:uiPriority w:val="39"/>
    <w:pPr>
      <w:tabs>
        <w:tab w:val="right" w:leader="dot" w:pos="9241"/>
      </w:tabs>
      <w:adjustRightInd/>
      <w:spacing w:before="25" w:beforeLines="25" w:after="25" w:afterLines="25" w:line="240" w:lineRule="auto"/>
    </w:pPr>
    <w:rPr>
      <w:rFonts w:ascii="宋体" w:hAnsi="Times New Roman"/>
    </w:rPr>
  </w:style>
  <w:style w:type="character" w:customStyle="1" w:styleId="259">
    <w:name w:val="日期 字符"/>
    <w:link w:val="20"/>
    <w:semiHidden/>
    <w:qFormat/>
    <w:uiPriority w:val="99"/>
    <w:rPr>
      <w:kern w:val="2"/>
      <w:sz w:val="21"/>
      <w:szCs w:val="21"/>
    </w:rPr>
  </w:style>
  <w:style w:type="paragraph" w:customStyle="1" w:styleId="260">
    <w:name w:val="标准文本 列项（——）"/>
    <w:basedOn w:val="1"/>
    <w:link w:val="261"/>
    <w:qFormat/>
    <w:uiPriority w:val="0"/>
    <w:pPr>
      <w:widowControl/>
      <w:tabs>
        <w:tab w:val="center" w:pos="4201"/>
        <w:tab w:val="right" w:leader="dot" w:pos="9298"/>
      </w:tabs>
      <w:autoSpaceDE w:val="0"/>
      <w:autoSpaceDN w:val="0"/>
      <w:adjustRightInd/>
      <w:spacing w:line="360" w:lineRule="exact"/>
      <w:ind w:left="200" w:leftChars="200" w:hanging="198" w:hangingChars="200"/>
    </w:pPr>
    <w:rPr>
      <w:rFonts w:ascii="Times New Roman" w:hAnsi="Times New Roman" w:cs="黑体"/>
      <w:kern w:val="0"/>
    </w:rPr>
  </w:style>
  <w:style w:type="character" w:customStyle="1" w:styleId="261">
    <w:name w:val="标准文本 列项（——） 字符"/>
    <w:link w:val="260"/>
    <w:qFormat/>
    <w:uiPriority w:val="0"/>
    <w:rPr>
      <w:rFonts w:ascii="Times New Roman" w:hAnsi="Times New Roman" w:cs="黑体"/>
      <w:sz w:val="21"/>
      <w:szCs w:val="21"/>
    </w:rPr>
  </w:style>
  <w:style w:type="paragraph" w:customStyle="1" w:styleId="262">
    <w:name w:val="1章标题"/>
    <w:next w:val="65"/>
    <w:qFormat/>
    <w:uiPriority w:val="99"/>
    <w:pPr>
      <w:spacing w:beforeLines="50" w:afterLines="50"/>
      <w:jc w:val="both"/>
      <w:outlineLvl w:val="0"/>
    </w:pPr>
    <w:rPr>
      <w:rFonts w:ascii="黑体" w:hAnsi="Times New Roman" w:eastAsia="黑体" w:cs="黑体"/>
      <w:sz w:val="21"/>
      <w:szCs w:val="21"/>
      <w:lang w:val="en-US" w:eastAsia="zh-CN" w:bidi="ar-SA"/>
    </w:rPr>
  </w:style>
  <w:style w:type="paragraph" w:customStyle="1" w:styleId="263">
    <w:name w:val="正文图题"/>
    <w:basedOn w:val="28"/>
    <w:next w:val="241"/>
    <w:qFormat/>
    <w:uiPriority w:val="0"/>
    <w:pPr>
      <w:numPr>
        <w:ilvl w:val="0"/>
        <w:numId w:val="33"/>
      </w:numPr>
      <w:adjustRightInd w:val="0"/>
      <w:spacing w:before="50" w:beforeLines="50" w:after="50" w:afterLines="50"/>
      <w:ind w:left="0" w:firstLine="0"/>
      <w:jc w:val="center"/>
    </w:pPr>
    <w:rPr>
      <w:rFonts w:ascii="Times New Roman" w:hAnsi="Times New Roman" w:eastAsia="黑体" w:cs="Calibri"/>
      <w:szCs w:val="21"/>
    </w:rPr>
  </w:style>
  <w:style w:type="character" w:customStyle="1" w:styleId="264">
    <w:name w:val="图表目录 字符"/>
    <w:link w:val="28"/>
    <w:qFormat/>
    <w:uiPriority w:val="99"/>
    <w:rPr>
      <w:kern w:val="2"/>
      <w:sz w:val="21"/>
      <w:szCs w:val="24"/>
    </w:rPr>
  </w:style>
  <w:style w:type="character" w:customStyle="1" w:styleId="265">
    <w:name w:val="段 字符"/>
    <w:qFormat/>
    <w:uiPriority w:val="0"/>
    <w:rPr>
      <w:rFonts w:ascii="Times New Roman" w:hAnsi="Times New Roman" w:eastAsia="宋体" w:cs="Calibri"/>
      <w:szCs w:val="21"/>
    </w:rPr>
  </w:style>
  <w:style w:type="character" w:customStyle="1" w:styleId="266">
    <w:name w:val="二级条标题 Char"/>
    <w:link w:val="256"/>
    <w:qFormat/>
    <w:uiPriority w:val="0"/>
    <w:rPr>
      <w:rFonts w:ascii="黑体" w:eastAsia="黑体"/>
      <w:sz w:val="21"/>
      <w:szCs w:val="21"/>
    </w:rPr>
  </w:style>
  <w:style w:type="paragraph" w:customStyle="1" w:styleId="267">
    <w:name w:val="字母列项"/>
    <w:basedOn w:val="247"/>
    <w:next w:val="1"/>
    <w:qFormat/>
    <w:uiPriority w:val="0"/>
    <w:pPr>
      <w:numPr>
        <w:ilvl w:val="0"/>
        <w:numId w:val="34"/>
      </w:numPr>
      <w:tabs>
        <w:tab w:val="left" w:pos="360"/>
      </w:tabs>
      <w:ind w:left="0" w:firstLine="0" w:firstLineChars="0"/>
    </w:pPr>
    <w:rPr>
      <w:rFonts w:ascii="Times New Roman" w:hAnsi="Times New Roman" w:cs="宋体"/>
      <w:kern w:val="0"/>
    </w:rPr>
  </w:style>
  <w:style w:type="paragraph" w:customStyle="1" w:styleId="268">
    <w:name w:val="1级标题【标准文件】"/>
    <w:next w:val="1"/>
    <w:link w:val="269"/>
    <w:qFormat/>
    <w:uiPriority w:val="99"/>
    <w:pPr>
      <w:spacing w:before="312" w:beforeLines="100" w:after="312" w:afterLines="100" w:line="360" w:lineRule="exact"/>
      <w:outlineLvl w:val="0"/>
    </w:pPr>
    <w:rPr>
      <w:rFonts w:ascii="黑体" w:hAnsi="等线" w:eastAsia="黑体" w:cs="Times New Roman"/>
      <w:kern w:val="2"/>
      <w:sz w:val="21"/>
      <w:szCs w:val="21"/>
      <w:lang w:val="en-US" w:eastAsia="zh-CN" w:bidi="ar-SA"/>
    </w:rPr>
  </w:style>
  <w:style w:type="character" w:customStyle="1" w:styleId="269">
    <w:name w:val="1级标题【标准文件】 字符"/>
    <w:link w:val="268"/>
    <w:qFormat/>
    <w:uiPriority w:val="99"/>
    <w:rPr>
      <w:rFonts w:ascii="黑体" w:hAnsi="等线" w:eastAsia="黑体" w:cs="Times New Roman"/>
      <w:kern w:val="2"/>
      <w:sz w:val="21"/>
      <w:szCs w:val="21"/>
    </w:rPr>
  </w:style>
  <w:style w:type="character" w:customStyle="1" w:styleId="270">
    <w:name w:val="2级标题【标准文件】 字符"/>
    <w:link w:val="271"/>
    <w:qFormat/>
    <w:uiPriority w:val="0"/>
    <w:rPr>
      <w:rFonts w:ascii="黑体" w:hAnsi="Times New Roman" w:eastAsia="黑体" w:cs="Times New Roman"/>
      <w:kern w:val="2"/>
      <w:sz w:val="21"/>
      <w:szCs w:val="21"/>
    </w:rPr>
  </w:style>
  <w:style w:type="paragraph" w:customStyle="1" w:styleId="271">
    <w:name w:val="2级标题【标准文件】"/>
    <w:basedOn w:val="268"/>
    <w:link w:val="270"/>
    <w:qFormat/>
    <w:uiPriority w:val="0"/>
    <w:pPr>
      <w:spacing w:before="156" w:beforeLines="50" w:after="156" w:afterLines="50"/>
      <w:outlineLvl w:val="1"/>
    </w:pPr>
    <w:rPr>
      <w:rFonts w:hAnsi="Times New Roman"/>
      <w:kern w:val="0"/>
    </w:rPr>
  </w:style>
  <w:style w:type="paragraph" w:customStyle="1" w:styleId="272">
    <w:name w:val="列表段落1"/>
    <w:basedOn w:val="1"/>
    <w:qFormat/>
    <w:uiPriority w:val="0"/>
    <w:pPr>
      <w:adjustRightInd/>
      <w:spacing w:line="240" w:lineRule="auto"/>
      <w:ind w:firstLine="420" w:firstLineChars="200"/>
    </w:pPr>
    <w:rPr>
      <w:rFonts w:cs="Calibri"/>
    </w:rPr>
  </w:style>
  <w:style w:type="character" w:customStyle="1" w:styleId="273">
    <w:name w:val="示例 Char"/>
    <w:link w:val="243"/>
    <w:qFormat/>
    <w:uiPriority w:val="0"/>
    <w:rPr>
      <w:rFonts w:ascii="宋体" w:hAnsi="宋体"/>
      <w:sz w:val="18"/>
      <w:szCs w:val="18"/>
    </w:rPr>
  </w:style>
  <w:style w:type="paragraph" w:customStyle="1" w:styleId="274">
    <w:name w:val="修订2"/>
    <w:hidden/>
    <w:semiHidden/>
    <w:qFormat/>
    <w:uiPriority w:val="99"/>
    <w:rPr>
      <w:rFonts w:ascii="Calibri" w:hAnsi="Calibri" w:eastAsia="宋体" w:cs="Times New Roman"/>
      <w:kern w:val="2"/>
      <w:sz w:val="21"/>
      <w:szCs w:val="21"/>
      <w:lang w:val="en-US" w:eastAsia="zh-CN" w:bidi="ar-SA"/>
    </w:rPr>
  </w:style>
  <w:style w:type="paragraph" w:customStyle="1" w:styleId="275">
    <w:name w:val="3级条标题【标准文件】"/>
    <w:basedOn w:val="1"/>
    <w:link w:val="276"/>
    <w:qFormat/>
    <w:uiPriority w:val="0"/>
    <w:pPr>
      <w:adjustRightInd/>
      <w:spacing w:line="240" w:lineRule="auto"/>
      <w:jc w:val="both"/>
      <w:outlineLvl w:val="3"/>
    </w:pPr>
    <w:rPr>
      <w:rFonts w:ascii="等线" w:hAnsi="等线" w:eastAsia="等线"/>
    </w:rPr>
  </w:style>
  <w:style w:type="character" w:customStyle="1" w:styleId="276">
    <w:name w:val="3级条标题【标准文件】 字符"/>
    <w:link w:val="275"/>
    <w:qFormat/>
    <w:uiPriority w:val="0"/>
    <w:rPr>
      <w:rFonts w:ascii="等线" w:hAnsi="等线" w:eastAsia="等线"/>
      <w:kern w:val="2"/>
      <w:sz w:val="21"/>
      <w:szCs w:val="21"/>
    </w:rPr>
  </w:style>
  <w:style w:type="paragraph" w:customStyle="1" w:styleId="277">
    <w:name w:val="字母列项【标准文件】"/>
    <w:basedOn w:val="247"/>
    <w:next w:val="1"/>
    <w:link w:val="278"/>
    <w:qFormat/>
    <w:uiPriority w:val="0"/>
    <w:pPr>
      <w:tabs>
        <w:tab w:val="left" w:pos="105"/>
      </w:tabs>
      <w:ind w:firstLine="0" w:firstLineChars="0"/>
    </w:pPr>
    <w:rPr>
      <w:rFonts w:ascii="Times New Roman" w:hAnsi="Times New Roman" w:cs="宋体"/>
      <w:kern w:val="0"/>
    </w:rPr>
  </w:style>
  <w:style w:type="character" w:customStyle="1" w:styleId="278">
    <w:name w:val="字母列项【标准文件】 字符"/>
    <w:link w:val="277"/>
    <w:qFormat/>
    <w:uiPriority w:val="0"/>
    <w:rPr>
      <w:rFonts w:ascii="Times New Roman" w:hAnsi="Times New Roman" w:cs="宋体"/>
      <w:sz w:val="21"/>
      <w:szCs w:val="21"/>
    </w:rPr>
  </w:style>
  <w:style w:type="paragraph" w:customStyle="1" w:styleId="279">
    <w:name w:val="修订3"/>
    <w:hidden/>
    <w:unhideWhenUsed/>
    <w:qFormat/>
    <w:uiPriority w:val="99"/>
    <w:rPr>
      <w:rFonts w:ascii="Calibri" w:hAnsi="Calibri" w:eastAsia="宋体" w:cs="Times New Roman"/>
      <w:kern w:val="2"/>
      <w:sz w:val="21"/>
      <w:szCs w:val="21"/>
      <w:lang w:val="en-US" w:eastAsia="zh-CN" w:bidi="ar-SA"/>
    </w:rPr>
  </w:style>
  <w:style w:type="character" w:customStyle="1" w:styleId="280">
    <w:name w:val="未处理的提及1"/>
    <w:basedOn w:val="35"/>
    <w:semiHidden/>
    <w:unhideWhenUsed/>
    <w:qFormat/>
    <w:uiPriority w:val="99"/>
    <w:rPr>
      <w:color w:val="605E5C"/>
      <w:shd w:val="clear" w:color="auto" w:fill="E1DFDD"/>
    </w:rPr>
  </w:style>
  <w:style w:type="character" w:customStyle="1" w:styleId="281">
    <w:name w:val="标准文件_二级条标题 字符"/>
    <w:basedOn w:val="35"/>
    <w:link w:val="74"/>
    <w:qFormat/>
    <w:uiPriority w:val="0"/>
    <w:rPr>
      <w:rFonts w:ascii="黑体" w:eastAsia="黑体"/>
      <w:sz w:val="21"/>
    </w:rPr>
  </w:style>
  <w:style w:type="character" w:customStyle="1" w:styleId="282">
    <w:name w:val="标准文件_一级条标题 字符"/>
    <w:basedOn w:val="35"/>
    <w:link w:val="114"/>
    <w:qFormat/>
    <w:uiPriority w:val="0"/>
    <w:rPr>
      <w:rFonts w:ascii="黑体" w:eastAsia="黑体"/>
      <w:sz w:val="21"/>
    </w:rPr>
  </w:style>
  <w:style w:type="paragraph" w:customStyle="1" w:styleId="283">
    <w:name w:val="段【标准文件】"/>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284">
    <w:name w:val="修订4"/>
    <w:hidden/>
    <w:unhideWhenUsed/>
    <w:qFormat/>
    <w:uiPriority w:val="99"/>
    <w:rPr>
      <w:rFonts w:ascii="Calibri" w:hAnsi="Calibri" w:eastAsia="宋体" w:cs="Times New Roman"/>
      <w:kern w:val="2"/>
      <w:sz w:val="21"/>
      <w:szCs w:val="21"/>
      <w:lang w:val="en-US" w:eastAsia="zh-CN" w:bidi="ar-SA"/>
    </w:rPr>
  </w:style>
  <w:style w:type="paragraph" w:customStyle="1" w:styleId="285">
    <w:name w:val="修订5"/>
    <w:hidden/>
    <w:unhideWhenUsed/>
    <w:qFormat/>
    <w:uiPriority w:val="99"/>
    <w:rPr>
      <w:rFonts w:ascii="Calibri" w:hAnsi="Calibri" w:eastAsia="宋体" w:cs="Times New Roman"/>
      <w:kern w:val="2"/>
      <w:sz w:val="21"/>
      <w:szCs w:val="21"/>
      <w:lang w:val="en-US" w:eastAsia="zh-CN" w:bidi="ar-SA"/>
    </w:rPr>
  </w:style>
  <w:style w:type="paragraph" w:customStyle="1" w:styleId="286">
    <w:name w:val="修订6"/>
    <w:hidden/>
    <w:unhideWhenUsed/>
    <w:qFormat/>
    <w:uiPriority w:val="99"/>
    <w:rPr>
      <w:rFonts w:ascii="Calibri" w:hAnsi="Calibri" w:eastAsia="宋体" w:cs="Times New Roman"/>
      <w:kern w:val="2"/>
      <w:sz w:val="21"/>
      <w:szCs w:val="21"/>
      <w:lang w:val="en-US" w:eastAsia="zh-CN" w:bidi="ar-SA"/>
    </w:rPr>
  </w:style>
  <w:style w:type="paragraph" w:customStyle="1" w:styleId="287">
    <w:name w:val="修订7"/>
    <w:hidden/>
    <w:unhideWhenUsed/>
    <w:qFormat/>
    <w:uiPriority w:val="99"/>
    <w:rPr>
      <w:rFonts w:ascii="Calibri" w:hAnsi="Calibri" w:eastAsia="宋体" w:cs="Times New Roman"/>
      <w:kern w:val="2"/>
      <w:sz w:val="21"/>
      <w:szCs w:val="21"/>
      <w:lang w:val="en-US" w:eastAsia="zh-CN" w:bidi="ar-SA"/>
    </w:rPr>
  </w:style>
  <w:style w:type="character" w:customStyle="1" w:styleId="288">
    <w:name w:val="一级条标题 Char"/>
    <w:basedOn w:val="35"/>
    <w:link w:val="255"/>
    <w:qFormat/>
    <w:locked/>
    <w:uiPriority w:val="0"/>
    <w:rPr>
      <w:rFonts w:ascii="黑体" w:hAnsi="Calibri" w:eastAsia="黑体"/>
      <w:sz w:val="21"/>
      <w:szCs w:val="21"/>
    </w:rPr>
  </w:style>
  <w:style w:type="paragraph" w:customStyle="1" w:styleId="28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90">
    <w:name w:val="修订8"/>
    <w:hidden/>
    <w:unhideWhenUsed/>
    <w:qFormat/>
    <w:uiPriority w:val="99"/>
    <w:rPr>
      <w:rFonts w:ascii="Calibri" w:hAnsi="Calibri" w:eastAsia="宋体" w:cs="Times New Roman"/>
      <w:kern w:val="2"/>
      <w:sz w:val="21"/>
      <w:szCs w:val="21"/>
      <w:lang w:val="en-US" w:eastAsia="zh-CN" w:bidi="ar-SA"/>
    </w:rPr>
  </w:style>
  <w:style w:type="paragraph" w:customStyle="1" w:styleId="291">
    <w:name w:val="修订9"/>
    <w:hidden/>
    <w:unhideWhenUsed/>
    <w:qFormat/>
    <w:uiPriority w:val="99"/>
    <w:rPr>
      <w:rFonts w:ascii="Calibri" w:hAnsi="Calibri" w:eastAsia="宋体" w:cs="Times New Roman"/>
      <w:kern w:val="2"/>
      <w:sz w:val="21"/>
      <w:szCs w:val="21"/>
      <w:lang w:val="en-US" w:eastAsia="zh-CN" w:bidi="ar-SA"/>
    </w:rPr>
  </w:style>
  <w:style w:type="paragraph" w:customStyle="1" w:styleId="292">
    <w:name w:val="修订10"/>
    <w:hidden/>
    <w:unhideWhenUsed/>
    <w:qFormat/>
    <w:uiPriority w:val="99"/>
    <w:rPr>
      <w:rFonts w:ascii="Calibri" w:hAnsi="Calibri" w:eastAsia="宋体" w:cs="Times New Roman"/>
      <w:kern w:val="2"/>
      <w:sz w:val="21"/>
      <w:szCs w:val="21"/>
      <w:lang w:val="en-US" w:eastAsia="zh-CN" w:bidi="ar-SA"/>
    </w:rPr>
  </w:style>
  <w:style w:type="character" w:customStyle="1" w:styleId="293">
    <w:name w:val="未处理的提及2"/>
    <w:basedOn w:val="35"/>
    <w:semiHidden/>
    <w:unhideWhenUsed/>
    <w:qFormat/>
    <w:uiPriority w:val="99"/>
    <w:rPr>
      <w:color w:val="605E5C"/>
      <w:shd w:val="clear" w:color="auto" w:fill="E1DFDD"/>
    </w:rPr>
  </w:style>
  <w:style w:type="paragraph" w:customStyle="1" w:styleId="294">
    <w:name w:val="修订11"/>
    <w:hidden/>
    <w:unhideWhenUsed/>
    <w:qFormat/>
    <w:uiPriority w:val="99"/>
    <w:rPr>
      <w:rFonts w:ascii="Calibri" w:hAnsi="Calibri" w:eastAsia="宋体" w:cs="Times New Roman"/>
      <w:kern w:val="2"/>
      <w:sz w:val="21"/>
      <w:szCs w:val="21"/>
      <w:lang w:val="en-US" w:eastAsia="zh-CN" w:bidi="ar-SA"/>
    </w:rPr>
  </w:style>
  <w:style w:type="character" w:customStyle="1" w:styleId="295">
    <w:name w:val="未处理的提及3"/>
    <w:basedOn w:val="35"/>
    <w:semiHidden/>
    <w:unhideWhenUsed/>
    <w:qFormat/>
    <w:uiPriority w:val="99"/>
    <w:rPr>
      <w:color w:val="605E5C"/>
      <w:shd w:val="clear" w:color="auto" w:fill="E1DFDD"/>
    </w:rPr>
  </w:style>
  <w:style w:type="paragraph" w:customStyle="1" w:styleId="296">
    <w:name w:val="修订12"/>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FB8A31-CCE7-49D2-A637-B92C42A8EBE6}">
  <ds:schemaRefs/>
</ds:datastoreItem>
</file>

<file path=docProps/app.xml><?xml version="1.0" encoding="utf-8"?>
<Properties xmlns="http://schemas.openxmlformats.org/officeDocument/2006/extended-properties" xmlns:vt="http://schemas.openxmlformats.org/officeDocument/2006/docPropsVTypes">
  <Template>行业标准</Template>
  <Company>PCMI</Company>
  <Pages>16</Pages>
  <Words>8748</Words>
  <Characters>9935</Characters>
  <Lines>591</Lines>
  <Paragraphs>814</Paragraphs>
  <TotalTime>1</TotalTime>
  <ScaleCrop>false</ScaleCrop>
  <LinksUpToDate>false</LinksUpToDate>
  <CharactersWithSpaces>10373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2022-12-12T02:07:00Z</dcterms:created>
  <dc:creator>bhzhou</dc:creator>
  <cp:lastModifiedBy>霍达</cp:lastModifiedBy>
  <cp:lastPrinted>2022-09-22T13:45:00Z</cp:lastPrinted>
  <dcterms:modified xsi:type="dcterms:W3CDTF">2025-08-01T07:12:05Z</dcterms:modified>
  <dc:title>行业标准</dc:title>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2052-12.1.0.21915</vt:lpwstr>
  </property>
  <property fmtid="{D5CDD505-2E9C-101B-9397-08002B2CF9AE}" pid="15" name="ICV">
    <vt:lpwstr>B1F8082797B948FAA9121FC91382B29F_13</vt:lpwstr>
  </property>
  <property fmtid="{D5CDD505-2E9C-101B-9397-08002B2CF9AE}" pid="16" name="KSOTemplateDocerSaveRecord">
    <vt:lpwstr>eyJoZGlkIjoiMzEwNTM5NzYwMDRjMzkwZTVkZjY2ODkwMGIxNGU0OTUiLCJ1c2VySWQiOiI0MzUxOTUzNDUifQ==</vt:lpwstr>
  </property>
  <property fmtid="{D5CDD505-2E9C-101B-9397-08002B2CF9AE}" pid="17" name="GrammarlyDocumentId">
    <vt:lpwstr>fbe81f1d-289c-4f94-a338-1608e8c9a42f</vt:lpwstr>
  </property>
</Properties>
</file>